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beforeLines="100" w:afterLines="100" w:line="560" w:lineRule="exact"/>
        <w:jc w:val="center"/>
        <w:rPr>
          <w:rFonts w:cs="方正公文小标宋" w:asciiTheme="minorEastAsia" w:hAnsiTheme="minorEastAsia" w:eastAsiaTheme="minorEastAsia"/>
          <w:b/>
          <w:sz w:val="36"/>
          <w:szCs w:val="36"/>
        </w:rPr>
      </w:pPr>
      <w:bookmarkStart w:id="0" w:name="_GoBack"/>
      <w:bookmarkEnd w:id="0"/>
      <w:r>
        <w:rPr>
          <w:rFonts w:hint="eastAsia" w:ascii="Times New Roman" w:hAnsi="Times New Roman" w:cs="方正公文小标宋" w:eastAsiaTheme="minorEastAsia"/>
          <w:b/>
          <w:sz w:val="36"/>
          <w:szCs w:val="36"/>
        </w:rPr>
        <w:t>2021</w:t>
      </w:r>
      <w:r>
        <w:rPr>
          <w:rFonts w:hint="eastAsia" w:cs="方正公文小标宋" w:asciiTheme="minorEastAsia" w:hAnsiTheme="minorEastAsia" w:eastAsiaTheme="minorEastAsia"/>
          <w:b/>
          <w:sz w:val="36"/>
          <w:szCs w:val="36"/>
        </w:rPr>
        <w:t>年度云南省科技进步奖项目公示</w:t>
      </w:r>
    </w:p>
    <w:p>
      <w:pPr>
        <w:widowControl/>
        <w:adjustRightInd w:val="0"/>
        <w:snapToGrid w:val="0"/>
        <w:spacing w:line="560" w:lineRule="exact"/>
        <w:ind w:firstLine="602" w:firstLineChars="200"/>
        <w:jc w:val="left"/>
        <w:outlineLvl w:val="0"/>
        <w:rPr>
          <w:rFonts w:eastAsia="仿宋"/>
          <w:b/>
          <w:sz w:val="30"/>
          <w:szCs w:val="30"/>
        </w:rPr>
      </w:pPr>
      <w:r>
        <w:rPr>
          <w:rFonts w:eastAsia="仿宋"/>
          <w:b/>
          <w:sz w:val="30"/>
          <w:szCs w:val="30"/>
        </w:rPr>
        <w:t>一、项目</w:t>
      </w:r>
      <w:r>
        <w:rPr>
          <w:rFonts w:hint="eastAsia" w:eastAsia="仿宋"/>
          <w:b/>
          <w:sz w:val="30"/>
          <w:szCs w:val="30"/>
        </w:rPr>
        <w:t>基本情况</w:t>
      </w:r>
    </w:p>
    <w:p>
      <w:pPr>
        <w:widowControl/>
        <w:adjustRightInd w:val="0"/>
        <w:snapToGrid w:val="0"/>
        <w:spacing w:line="560" w:lineRule="exact"/>
        <w:ind w:firstLine="562" w:firstLineChars="200"/>
        <w:jc w:val="left"/>
        <w:outlineLvl w:val="0"/>
        <w:rPr>
          <w:rFonts w:eastAsia="仿宋"/>
          <w:bCs/>
          <w:sz w:val="28"/>
          <w:szCs w:val="28"/>
        </w:rPr>
      </w:pPr>
      <w:r>
        <w:rPr>
          <w:rFonts w:hint="eastAsia" w:eastAsia="仿宋"/>
          <w:b/>
          <w:bCs/>
          <w:sz w:val="28"/>
          <w:szCs w:val="28"/>
        </w:rPr>
        <w:t>项目名称：</w:t>
      </w:r>
      <w:r>
        <w:rPr>
          <w:rFonts w:hint="eastAsia" w:eastAsia="仿宋"/>
          <w:bCs/>
          <w:sz w:val="28"/>
          <w:szCs w:val="28"/>
        </w:rPr>
        <w:t>云南旱灾时空分布及水文综合干旱指数研究与应用</w:t>
      </w:r>
    </w:p>
    <w:p>
      <w:pPr>
        <w:widowControl/>
        <w:adjustRightInd w:val="0"/>
        <w:snapToGrid w:val="0"/>
        <w:spacing w:line="560" w:lineRule="exact"/>
        <w:ind w:firstLine="562" w:firstLineChars="200"/>
        <w:jc w:val="left"/>
        <w:outlineLvl w:val="0"/>
        <w:rPr>
          <w:rFonts w:eastAsia="仿宋"/>
          <w:sz w:val="28"/>
          <w:szCs w:val="28"/>
        </w:rPr>
      </w:pPr>
      <w:r>
        <w:rPr>
          <w:rFonts w:hint="eastAsia" w:eastAsia="仿宋"/>
          <w:b/>
          <w:sz w:val="28"/>
          <w:szCs w:val="28"/>
        </w:rPr>
        <w:t>主要完成人：</w:t>
      </w:r>
      <w:r>
        <w:rPr>
          <w:rFonts w:hint="eastAsia" w:eastAsia="仿宋"/>
          <w:sz w:val="28"/>
          <w:szCs w:val="28"/>
        </w:rPr>
        <w:t>王龙，余航，付奔，杨蕊，文俊，高瑞，杨帆</w:t>
      </w:r>
    </w:p>
    <w:p>
      <w:pPr>
        <w:widowControl/>
        <w:adjustRightInd w:val="0"/>
        <w:snapToGrid w:val="0"/>
        <w:spacing w:line="560" w:lineRule="exact"/>
        <w:ind w:firstLine="562" w:firstLineChars="200"/>
        <w:jc w:val="left"/>
        <w:outlineLvl w:val="0"/>
        <w:rPr>
          <w:rFonts w:eastAsia="仿宋"/>
          <w:bCs/>
          <w:sz w:val="28"/>
          <w:szCs w:val="28"/>
        </w:rPr>
      </w:pPr>
      <w:r>
        <w:rPr>
          <w:rFonts w:eastAsia="仿宋"/>
          <w:b/>
          <w:sz w:val="28"/>
          <w:szCs w:val="28"/>
        </w:rPr>
        <w:t>主要完成单位</w:t>
      </w:r>
      <w:r>
        <w:rPr>
          <w:rFonts w:hint="eastAsia" w:eastAsia="仿宋"/>
          <w:b/>
          <w:sz w:val="28"/>
          <w:szCs w:val="28"/>
        </w:rPr>
        <w:t>：</w:t>
      </w:r>
      <w:r>
        <w:rPr>
          <w:rFonts w:eastAsia="仿宋"/>
          <w:bCs/>
          <w:sz w:val="28"/>
          <w:szCs w:val="28"/>
        </w:rPr>
        <w:t>云南农业大学</w:t>
      </w:r>
      <w:r>
        <w:rPr>
          <w:rFonts w:hint="eastAsia" w:eastAsia="仿宋"/>
          <w:bCs/>
          <w:sz w:val="28"/>
          <w:szCs w:val="28"/>
        </w:rPr>
        <w:t>，云南省水文水资源局，</w:t>
      </w:r>
      <w:r>
        <w:rPr>
          <w:rFonts w:eastAsia="仿宋"/>
          <w:bCs/>
          <w:sz w:val="28"/>
          <w:szCs w:val="28"/>
        </w:rPr>
        <w:t>云南农业职业技术学院</w:t>
      </w:r>
    </w:p>
    <w:p>
      <w:pPr>
        <w:widowControl/>
        <w:adjustRightInd w:val="0"/>
        <w:snapToGrid w:val="0"/>
        <w:spacing w:line="560" w:lineRule="exact"/>
        <w:ind w:firstLine="562" w:firstLineChars="200"/>
        <w:jc w:val="left"/>
        <w:outlineLvl w:val="0"/>
        <w:rPr>
          <w:rFonts w:eastAsia="仿宋"/>
          <w:sz w:val="28"/>
          <w:szCs w:val="28"/>
        </w:rPr>
      </w:pPr>
      <w:r>
        <w:rPr>
          <w:rFonts w:eastAsia="仿宋"/>
          <w:b/>
          <w:sz w:val="28"/>
          <w:szCs w:val="28"/>
        </w:rPr>
        <w:t>提名</w:t>
      </w:r>
      <w:r>
        <w:rPr>
          <w:rFonts w:hint="eastAsia" w:eastAsia="仿宋"/>
          <w:b/>
          <w:sz w:val="28"/>
          <w:szCs w:val="28"/>
        </w:rPr>
        <w:t>单位：</w:t>
      </w:r>
      <w:r>
        <w:rPr>
          <w:rFonts w:eastAsia="仿宋"/>
          <w:sz w:val="28"/>
          <w:szCs w:val="28"/>
        </w:rPr>
        <w:t>云南农业大学</w:t>
      </w:r>
    </w:p>
    <w:p>
      <w:pPr>
        <w:widowControl/>
        <w:adjustRightInd w:val="0"/>
        <w:snapToGrid w:val="0"/>
        <w:spacing w:line="560" w:lineRule="exact"/>
        <w:ind w:firstLine="562" w:firstLineChars="200"/>
        <w:jc w:val="left"/>
        <w:outlineLvl w:val="0"/>
        <w:rPr>
          <w:rFonts w:eastAsia="仿宋"/>
          <w:sz w:val="28"/>
          <w:szCs w:val="28"/>
        </w:rPr>
      </w:pPr>
      <w:r>
        <w:rPr>
          <w:rFonts w:hint="eastAsia" w:eastAsia="仿宋"/>
          <w:b/>
          <w:sz w:val="28"/>
          <w:szCs w:val="28"/>
        </w:rPr>
        <w:t>拟提名等级：</w:t>
      </w:r>
      <w:r>
        <w:rPr>
          <w:rFonts w:hint="eastAsia" w:eastAsia="仿宋"/>
          <w:sz w:val="28"/>
          <w:szCs w:val="28"/>
        </w:rPr>
        <w:t>云南省科技进步奖三等奖</w:t>
      </w:r>
    </w:p>
    <w:p>
      <w:pPr>
        <w:widowControl/>
        <w:adjustRightInd w:val="0"/>
        <w:snapToGrid w:val="0"/>
        <w:spacing w:line="560" w:lineRule="exact"/>
        <w:ind w:firstLine="602" w:firstLineChars="200"/>
        <w:jc w:val="left"/>
        <w:outlineLvl w:val="0"/>
        <w:rPr>
          <w:rFonts w:eastAsia="仿宋"/>
          <w:b/>
          <w:sz w:val="30"/>
          <w:szCs w:val="30"/>
        </w:rPr>
      </w:pPr>
      <w:r>
        <w:rPr>
          <w:rFonts w:hint="eastAsia" w:eastAsia="仿宋"/>
          <w:b/>
          <w:sz w:val="30"/>
          <w:szCs w:val="30"/>
        </w:rPr>
        <w:t>二</w:t>
      </w:r>
      <w:r>
        <w:rPr>
          <w:rFonts w:eastAsia="仿宋"/>
          <w:b/>
          <w:sz w:val="30"/>
          <w:szCs w:val="30"/>
        </w:rPr>
        <w:t>、</w:t>
      </w:r>
      <w:r>
        <w:rPr>
          <w:rFonts w:hint="eastAsia" w:eastAsia="仿宋"/>
          <w:b/>
          <w:sz w:val="30"/>
          <w:szCs w:val="30"/>
        </w:rPr>
        <w:t>项目简介</w:t>
      </w:r>
    </w:p>
    <w:p>
      <w:pPr>
        <w:widowControl/>
        <w:adjustRightInd w:val="0"/>
        <w:snapToGrid w:val="0"/>
        <w:spacing w:line="560" w:lineRule="exact"/>
        <w:ind w:firstLine="560" w:firstLineChars="200"/>
        <w:jc w:val="left"/>
        <w:outlineLvl w:val="0"/>
        <w:rPr>
          <w:rFonts w:eastAsia="仿宋"/>
          <w:sz w:val="28"/>
          <w:szCs w:val="28"/>
        </w:rPr>
      </w:pPr>
      <w:r>
        <w:rPr>
          <w:rFonts w:hint="eastAsia" w:eastAsia="仿宋"/>
          <w:sz w:val="28"/>
          <w:szCs w:val="28"/>
        </w:rPr>
        <w:t>旱灾</w:t>
      </w:r>
      <w:r>
        <w:rPr>
          <w:rFonts w:eastAsia="仿宋"/>
          <w:sz w:val="28"/>
          <w:szCs w:val="28"/>
        </w:rPr>
        <w:t>作为云南主要的自然灾害之一，给云南社会经济造成重大损失</w:t>
      </w:r>
      <w:r>
        <w:rPr>
          <w:rFonts w:hint="eastAsia" w:eastAsia="仿宋"/>
          <w:sz w:val="28"/>
          <w:szCs w:val="28"/>
        </w:rPr>
        <w:t>，对生态环境产生巨大破坏，对人民生活构成严重影响</w:t>
      </w:r>
      <w:r>
        <w:rPr>
          <w:rFonts w:eastAsia="仿宋"/>
          <w:sz w:val="28"/>
          <w:szCs w:val="28"/>
        </w:rPr>
        <w:t>。</w:t>
      </w:r>
      <w:r>
        <w:rPr>
          <w:rFonts w:hint="eastAsia" w:eastAsia="仿宋"/>
          <w:sz w:val="28"/>
          <w:szCs w:val="28"/>
        </w:rPr>
        <w:t>针对云南历史干旱灾害认识不足、干旱重现期结论不一、干旱识别与灾情不对应等问题，云南农业大学、云南省水文水资源局、云南农业职业技术学院，依托</w:t>
      </w:r>
      <w:r>
        <w:rPr>
          <w:rFonts w:eastAsia="仿宋"/>
          <w:sz w:val="28"/>
          <w:szCs w:val="28"/>
        </w:rPr>
        <w:t>水利公益行业科研专项课题</w:t>
      </w:r>
      <w:r>
        <w:rPr>
          <w:rFonts w:hint="eastAsia" w:eastAsia="仿宋"/>
          <w:sz w:val="28"/>
          <w:szCs w:val="28"/>
        </w:rPr>
        <w:t>和</w:t>
      </w:r>
      <w:r>
        <w:rPr>
          <w:rFonts w:eastAsia="仿宋"/>
          <w:sz w:val="28"/>
          <w:szCs w:val="28"/>
        </w:rPr>
        <w:t>云南省水利科技项目，</w:t>
      </w:r>
      <w:r>
        <w:rPr>
          <w:rFonts w:hint="eastAsia" w:eastAsia="仿宋"/>
          <w:sz w:val="28"/>
          <w:szCs w:val="28"/>
        </w:rPr>
        <w:t>取得了旱灾区划、干旱重现期和干旱指数等创新性成果</w:t>
      </w:r>
      <w:r>
        <w:rPr>
          <w:rFonts w:eastAsia="仿宋"/>
          <w:sz w:val="28"/>
          <w:szCs w:val="28"/>
        </w:rPr>
        <w:t>。</w:t>
      </w:r>
    </w:p>
    <w:p>
      <w:pPr>
        <w:widowControl/>
        <w:adjustRightInd w:val="0"/>
        <w:snapToGrid w:val="0"/>
        <w:spacing w:line="560" w:lineRule="exact"/>
        <w:ind w:firstLine="562" w:firstLineChars="200"/>
        <w:jc w:val="left"/>
        <w:outlineLvl w:val="0"/>
        <w:rPr>
          <w:rFonts w:eastAsia="仿宋"/>
          <w:b/>
          <w:sz w:val="28"/>
          <w:szCs w:val="28"/>
        </w:rPr>
      </w:pPr>
      <w:r>
        <w:rPr>
          <w:rFonts w:hint="eastAsia" w:ascii="Times New Roman" w:hAnsi="Times New Roman" w:eastAsia="仿宋"/>
          <w:b/>
          <w:sz w:val="28"/>
          <w:szCs w:val="28"/>
        </w:rPr>
        <w:t>1</w:t>
      </w:r>
      <w:r>
        <w:rPr>
          <w:rFonts w:hint="eastAsia" w:eastAsia="仿宋"/>
          <w:b/>
          <w:sz w:val="28"/>
          <w:szCs w:val="28"/>
        </w:rPr>
        <w:t>、完成了云南历史旱灾区划及提出了云南历史干旱灾害重心</w:t>
      </w:r>
    </w:p>
    <w:p>
      <w:pPr>
        <w:widowControl/>
        <w:adjustRightInd w:val="0"/>
        <w:snapToGrid w:val="0"/>
        <w:spacing w:line="560" w:lineRule="exact"/>
        <w:ind w:firstLine="560" w:firstLineChars="200"/>
        <w:jc w:val="left"/>
        <w:outlineLvl w:val="0"/>
        <w:rPr>
          <w:rFonts w:eastAsia="仿宋"/>
          <w:sz w:val="28"/>
          <w:szCs w:val="28"/>
        </w:rPr>
      </w:pPr>
      <w:r>
        <w:rPr>
          <w:rFonts w:hint="eastAsia" w:eastAsia="仿宋"/>
          <w:sz w:val="28"/>
          <w:szCs w:val="28"/>
        </w:rPr>
        <w:t>针对已有历史干旱灾害区划及干旱灾害重心研究成果对历史灾情资料利用不够和历史干旱灾害认识不足的问题，项目组根据定性的历史资料（</w:t>
      </w:r>
      <w:r>
        <w:rPr>
          <w:rFonts w:hint="eastAsia" w:ascii="Times New Roman" w:hAnsi="Times New Roman" w:eastAsia="仿宋"/>
          <w:sz w:val="28"/>
          <w:szCs w:val="28"/>
        </w:rPr>
        <w:t>1</w:t>
      </w:r>
      <w:r>
        <w:rPr>
          <w:rFonts w:ascii="Times New Roman" w:hAnsi="Times New Roman" w:eastAsia="仿宋"/>
          <w:sz w:val="28"/>
          <w:szCs w:val="28"/>
        </w:rPr>
        <w:t>450</w:t>
      </w:r>
      <w:r>
        <w:rPr>
          <w:rFonts w:eastAsia="仿宋"/>
          <w:sz w:val="28"/>
          <w:szCs w:val="28"/>
        </w:rPr>
        <w:t>-</w:t>
      </w:r>
      <w:r>
        <w:rPr>
          <w:rFonts w:ascii="Times New Roman" w:hAnsi="Times New Roman" w:eastAsia="仿宋"/>
          <w:sz w:val="28"/>
          <w:szCs w:val="28"/>
        </w:rPr>
        <w:t>1949</w:t>
      </w:r>
      <w:r>
        <w:rPr>
          <w:rFonts w:hint="eastAsia" w:eastAsia="仿宋"/>
          <w:sz w:val="28"/>
          <w:szCs w:val="28"/>
        </w:rPr>
        <w:t>年），采用历史地理学方法转化得到半定量数据，从而完成了云南</w:t>
      </w:r>
      <w:r>
        <w:rPr>
          <w:rFonts w:hint="eastAsia" w:ascii="Times New Roman" w:hAnsi="Times New Roman" w:eastAsia="仿宋"/>
          <w:sz w:val="28"/>
          <w:szCs w:val="28"/>
        </w:rPr>
        <w:t>5</w:t>
      </w:r>
      <w:r>
        <w:rPr>
          <w:rFonts w:ascii="Times New Roman" w:hAnsi="Times New Roman" w:eastAsia="仿宋"/>
          <w:sz w:val="28"/>
          <w:szCs w:val="28"/>
        </w:rPr>
        <w:t>00</w:t>
      </w:r>
      <w:r>
        <w:rPr>
          <w:rFonts w:hint="eastAsia" w:eastAsia="仿宋"/>
          <w:sz w:val="28"/>
          <w:szCs w:val="28"/>
        </w:rPr>
        <w:t>年历史干旱灾害时空变化特征，厘清了历史干旱灾害的演变规律，确定了历史干旱灾害周期与厄尔尼诺—南方涛动（</w:t>
      </w:r>
      <w:r>
        <w:rPr>
          <w:rFonts w:eastAsia="仿宋"/>
          <w:sz w:val="28"/>
          <w:szCs w:val="28"/>
        </w:rPr>
        <w:t>ENSO</w:t>
      </w:r>
      <w:r>
        <w:rPr>
          <w:rFonts w:hint="eastAsia" w:eastAsia="仿宋"/>
          <w:sz w:val="28"/>
          <w:szCs w:val="28"/>
        </w:rPr>
        <w:t>）和太阳黑子活动有关，得到了历史干旱灾害区划成果，提出了干旱灾害重心主要集中在滇中地区、且具有至西向东小范围移动的结论。</w:t>
      </w:r>
    </w:p>
    <w:p>
      <w:pPr>
        <w:widowControl/>
        <w:adjustRightInd w:val="0"/>
        <w:snapToGrid w:val="0"/>
        <w:spacing w:line="560" w:lineRule="exact"/>
        <w:ind w:firstLine="562" w:firstLineChars="200"/>
        <w:jc w:val="left"/>
        <w:outlineLvl w:val="0"/>
        <w:rPr>
          <w:rFonts w:eastAsia="仿宋"/>
          <w:b/>
          <w:sz w:val="28"/>
          <w:szCs w:val="28"/>
        </w:rPr>
      </w:pPr>
      <w:r>
        <w:rPr>
          <w:rFonts w:hint="eastAsia" w:ascii="Times New Roman" w:hAnsi="Times New Roman" w:eastAsia="仿宋"/>
          <w:b/>
          <w:sz w:val="28"/>
          <w:szCs w:val="28"/>
        </w:rPr>
        <w:t>2</w:t>
      </w:r>
      <w:r>
        <w:rPr>
          <w:rFonts w:hint="eastAsia" w:eastAsia="仿宋"/>
          <w:b/>
          <w:sz w:val="28"/>
          <w:szCs w:val="28"/>
        </w:rPr>
        <w:t>、建立了云南水文干旱重现期的分析计算技术</w:t>
      </w:r>
    </w:p>
    <w:p>
      <w:pPr>
        <w:widowControl/>
        <w:adjustRightInd w:val="0"/>
        <w:snapToGrid w:val="0"/>
        <w:spacing w:line="560" w:lineRule="exact"/>
        <w:ind w:firstLine="560" w:firstLineChars="200"/>
        <w:jc w:val="left"/>
        <w:outlineLvl w:val="0"/>
        <w:rPr>
          <w:rFonts w:eastAsia="仿宋"/>
          <w:sz w:val="28"/>
          <w:szCs w:val="28"/>
        </w:rPr>
      </w:pPr>
      <w:r>
        <w:rPr>
          <w:rFonts w:hint="eastAsia" w:eastAsia="仿宋"/>
          <w:sz w:val="28"/>
          <w:szCs w:val="28"/>
        </w:rPr>
        <w:t>针对干旱，特别是重大干旱的重现期在不同的行业，由于分析计算技术的不同，使得结论不一致，造成社会对同一场干旱的认识存在矛盾。项目组首先利用气象数据，并加入以径流为代表的水文数据，揭示了干旱重现期受多要素影响的机理，评估了水文要素对干旱重现期的重要性，建立了以气象、水文多要素为数据源、基于游程理论和</w:t>
      </w:r>
      <w:r>
        <w:rPr>
          <w:rFonts w:eastAsia="仿宋"/>
          <w:sz w:val="28"/>
          <w:szCs w:val="28"/>
        </w:rPr>
        <w:t>Pair-copula</w:t>
      </w:r>
      <w:r>
        <w:rPr>
          <w:rFonts w:hint="eastAsia" w:eastAsia="仿宋"/>
          <w:sz w:val="28"/>
          <w:szCs w:val="28"/>
        </w:rPr>
        <w:t>函数的水文干旱重现期的分析计算技术，并在南盘江流域进行了运用，得到了</w:t>
      </w:r>
      <w:r>
        <w:rPr>
          <w:rFonts w:ascii="Times New Roman" w:hAnsi="Times New Roman" w:eastAsia="仿宋"/>
          <w:sz w:val="28"/>
          <w:szCs w:val="28"/>
        </w:rPr>
        <w:t>2009</w:t>
      </w:r>
      <w:r>
        <w:rPr>
          <w:rFonts w:eastAsia="仿宋"/>
          <w:sz w:val="28"/>
          <w:szCs w:val="28"/>
        </w:rPr>
        <w:t>~</w:t>
      </w:r>
      <w:r>
        <w:rPr>
          <w:rFonts w:ascii="Times New Roman" w:hAnsi="Times New Roman" w:eastAsia="仿宋"/>
          <w:sz w:val="28"/>
          <w:szCs w:val="28"/>
        </w:rPr>
        <w:t>2012</w:t>
      </w:r>
      <w:r>
        <w:rPr>
          <w:rFonts w:hint="eastAsia" w:eastAsia="仿宋"/>
          <w:sz w:val="28"/>
          <w:szCs w:val="28"/>
        </w:rPr>
        <w:t>年不同区域的特大干旱重现期介于</w:t>
      </w:r>
      <w:r>
        <w:rPr>
          <w:rFonts w:ascii="Times New Roman" w:hAnsi="Times New Roman" w:eastAsia="仿宋"/>
          <w:sz w:val="28"/>
          <w:szCs w:val="28"/>
        </w:rPr>
        <w:t>100</w:t>
      </w:r>
      <w:r>
        <w:rPr>
          <w:rFonts w:hint="eastAsia" w:eastAsia="仿宋"/>
          <w:sz w:val="28"/>
          <w:szCs w:val="28"/>
        </w:rPr>
        <w:t>年一遇至</w:t>
      </w:r>
      <w:r>
        <w:rPr>
          <w:rFonts w:ascii="Times New Roman" w:hAnsi="Times New Roman" w:eastAsia="仿宋"/>
          <w:sz w:val="28"/>
          <w:szCs w:val="28"/>
        </w:rPr>
        <w:t>200</w:t>
      </w:r>
      <w:r>
        <w:rPr>
          <w:rFonts w:hint="eastAsia" w:eastAsia="仿宋"/>
          <w:sz w:val="28"/>
          <w:szCs w:val="28"/>
        </w:rPr>
        <w:t>年一遇之间，为干旱重现期的分析计算提供了合理的技术手段。</w:t>
      </w:r>
    </w:p>
    <w:p>
      <w:pPr>
        <w:widowControl/>
        <w:adjustRightInd w:val="0"/>
        <w:snapToGrid w:val="0"/>
        <w:spacing w:line="560" w:lineRule="exact"/>
        <w:ind w:firstLine="562" w:firstLineChars="200"/>
        <w:jc w:val="left"/>
        <w:outlineLvl w:val="0"/>
        <w:rPr>
          <w:rFonts w:eastAsia="仿宋"/>
          <w:b/>
          <w:sz w:val="28"/>
          <w:szCs w:val="28"/>
        </w:rPr>
      </w:pPr>
      <w:r>
        <w:rPr>
          <w:rFonts w:ascii="Times New Roman" w:hAnsi="Times New Roman" w:eastAsia="仿宋"/>
          <w:b/>
          <w:sz w:val="28"/>
          <w:szCs w:val="28"/>
        </w:rPr>
        <w:t>3</w:t>
      </w:r>
      <w:r>
        <w:rPr>
          <w:rFonts w:hint="eastAsia" w:eastAsia="仿宋"/>
          <w:b/>
          <w:sz w:val="28"/>
          <w:szCs w:val="28"/>
        </w:rPr>
        <w:t>、构建了水文综合干旱指数（S</w:t>
      </w:r>
      <w:r>
        <w:rPr>
          <w:rFonts w:eastAsia="仿宋"/>
          <w:b/>
          <w:sz w:val="28"/>
          <w:szCs w:val="28"/>
        </w:rPr>
        <w:t>PERI</w:t>
      </w:r>
      <w:r>
        <w:rPr>
          <w:rFonts w:hint="eastAsia" w:eastAsia="仿宋"/>
          <w:b/>
          <w:sz w:val="28"/>
          <w:szCs w:val="28"/>
        </w:rPr>
        <w:t>）</w:t>
      </w:r>
    </w:p>
    <w:p>
      <w:pPr>
        <w:widowControl/>
        <w:adjustRightInd w:val="0"/>
        <w:snapToGrid w:val="0"/>
        <w:spacing w:line="560" w:lineRule="exact"/>
        <w:ind w:firstLine="560" w:firstLineChars="200"/>
        <w:jc w:val="left"/>
        <w:outlineLvl w:val="0"/>
        <w:rPr>
          <w:rFonts w:eastAsia="仿宋"/>
          <w:sz w:val="28"/>
          <w:szCs w:val="28"/>
        </w:rPr>
      </w:pPr>
      <w:r>
        <w:rPr>
          <w:rFonts w:hint="eastAsia" w:eastAsia="仿宋"/>
          <w:sz w:val="28"/>
          <w:szCs w:val="28"/>
        </w:rPr>
        <w:t>针对现有的干旱指标识别结果与实际灾情不对应的问题，选取水文、气象和灾情数据，分析了干旱转化为旱灾的复杂过程和机制，考虑了灾情等级受到气象、水文（致灾因子）和承灾体的综合影响，计算了基于多维统计学理论的多维联合概率和标准正态分布分位数，构建了一种多尺度干旱指标，即水文综合干旱指数（SPERI），并将该指数与世界气象组织和中国《气象干旱等级》国家标准推荐的标准化降水指数（S</w:t>
      </w:r>
      <w:r>
        <w:rPr>
          <w:rFonts w:eastAsia="仿宋"/>
          <w:sz w:val="28"/>
          <w:szCs w:val="28"/>
        </w:rPr>
        <w:t>PI</w:t>
      </w:r>
      <w:r>
        <w:rPr>
          <w:rFonts w:hint="eastAsia" w:eastAsia="仿宋"/>
          <w:sz w:val="28"/>
          <w:szCs w:val="28"/>
        </w:rPr>
        <w:t>）和标准化降水蒸散指数（S</w:t>
      </w:r>
      <w:r>
        <w:rPr>
          <w:rFonts w:eastAsia="仿宋"/>
          <w:sz w:val="28"/>
          <w:szCs w:val="28"/>
        </w:rPr>
        <w:t>PEI</w:t>
      </w:r>
      <w:r>
        <w:rPr>
          <w:rFonts w:hint="eastAsia" w:eastAsia="仿宋"/>
          <w:sz w:val="28"/>
          <w:szCs w:val="28"/>
        </w:rPr>
        <w:t>）进行对比，发现SPERI对干旱灾害识别的准确率明显优于SPI和SPEI，以</w:t>
      </w:r>
      <w:r>
        <w:rPr>
          <w:rFonts w:hint="eastAsia" w:ascii="Times New Roman" w:hAnsi="Times New Roman" w:eastAsia="仿宋"/>
          <w:sz w:val="28"/>
          <w:szCs w:val="28"/>
        </w:rPr>
        <w:t>3</w:t>
      </w:r>
      <w:r>
        <w:rPr>
          <w:rFonts w:hint="eastAsia" w:eastAsia="仿宋"/>
          <w:sz w:val="28"/>
          <w:szCs w:val="28"/>
        </w:rPr>
        <w:t>个月时间尺度的SPERI识别最为准确。S</w:t>
      </w:r>
      <w:r>
        <w:rPr>
          <w:rFonts w:eastAsia="仿宋"/>
          <w:sz w:val="28"/>
          <w:szCs w:val="28"/>
        </w:rPr>
        <w:t>PERI</w:t>
      </w:r>
      <w:r>
        <w:rPr>
          <w:rFonts w:hint="eastAsia" w:eastAsia="仿宋"/>
          <w:sz w:val="28"/>
          <w:szCs w:val="28"/>
        </w:rPr>
        <w:t>能体现致灾因子、孕灾环境到灾害损失的复杂过程，为</w:t>
      </w:r>
      <w:r>
        <w:rPr>
          <w:rFonts w:eastAsia="仿宋"/>
          <w:sz w:val="28"/>
          <w:szCs w:val="28"/>
        </w:rPr>
        <w:t>干旱识别</w:t>
      </w:r>
      <w:r>
        <w:rPr>
          <w:rFonts w:hint="eastAsia" w:eastAsia="仿宋"/>
          <w:sz w:val="28"/>
          <w:szCs w:val="28"/>
        </w:rPr>
        <w:t>和</w:t>
      </w:r>
      <w:r>
        <w:rPr>
          <w:rFonts w:eastAsia="仿宋"/>
          <w:sz w:val="28"/>
          <w:szCs w:val="28"/>
        </w:rPr>
        <w:t>灾害评估提供了新的</w:t>
      </w:r>
      <w:r>
        <w:rPr>
          <w:rFonts w:hint="eastAsia" w:eastAsia="仿宋"/>
          <w:sz w:val="28"/>
          <w:szCs w:val="28"/>
        </w:rPr>
        <w:t>工具</w:t>
      </w:r>
      <w:r>
        <w:rPr>
          <w:rFonts w:eastAsia="仿宋"/>
          <w:sz w:val="28"/>
          <w:szCs w:val="28"/>
        </w:rPr>
        <w:t>。</w:t>
      </w:r>
    </w:p>
    <w:p>
      <w:pPr>
        <w:widowControl/>
        <w:adjustRightInd w:val="0"/>
        <w:snapToGrid w:val="0"/>
        <w:spacing w:line="560" w:lineRule="exact"/>
        <w:ind w:firstLine="560" w:firstLineChars="200"/>
        <w:jc w:val="left"/>
        <w:outlineLvl w:val="0"/>
        <w:rPr>
          <w:rFonts w:eastAsia="仿宋"/>
          <w:sz w:val="28"/>
          <w:szCs w:val="28"/>
        </w:rPr>
      </w:pPr>
      <w:r>
        <w:rPr>
          <w:rFonts w:hint="eastAsia" w:eastAsia="仿宋"/>
          <w:sz w:val="28"/>
          <w:szCs w:val="28"/>
        </w:rPr>
        <w:t>发表论文</w:t>
      </w:r>
      <w:r>
        <w:rPr>
          <w:rFonts w:ascii="Times New Roman" w:hAnsi="Times New Roman" w:eastAsia="仿宋"/>
          <w:sz w:val="28"/>
          <w:szCs w:val="28"/>
        </w:rPr>
        <w:t>18</w:t>
      </w:r>
      <w:r>
        <w:rPr>
          <w:rFonts w:hint="eastAsia" w:eastAsia="仿宋"/>
          <w:sz w:val="28"/>
          <w:szCs w:val="28"/>
        </w:rPr>
        <w:t>篇，出版专著</w:t>
      </w:r>
      <w:r>
        <w:rPr>
          <w:rFonts w:ascii="Times New Roman" w:hAnsi="Times New Roman" w:eastAsia="仿宋"/>
          <w:sz w:val="28"/>
          <w:szCs w:val="28"/>
        </w:rPr>
        <w:t>2</w:t>
      </w:r>
      <w:r>
        <w:rPr>
          <w:rFonts w:hint="eastAsia" w:eastAsia="仿宋"/>
          <w:sz w:val="28"/>
          <w:szCs w:val="28"/>
        </w:rPr>
        <w:t>本，获得软件著作权</w:t>
      </w:r>
      <w:r>
        <w:rPr>
          <w:rFonts w:ascii="Times New Roman" w:hAnsi="Times New Roman" w:eastAsia="仿宋"/>
          <w:sz w:val="28"/>
          <w:szCs w:val="28"/>
        </w:rPr>
        <w:t>2</w:t>
      </w:r>
      <w:r>
        <w:rPr>
          <w:rFonts w:hint="eastAsia" w:eastAsia="仿宋"/>
          <w:sz w:val="28"/>
          <w:szCs w:val="28"/>
        </w:rPr>
        <w:t>件、新型实用专利</w:t>
      </w:r>
      <w:r>
        <w:rPr>
          <w:rFonts w:ascii="Times New Roman" w:hAnsi="Times New Roman" w:eastAsia="仿宋"/>
          <w:sz w:val="28"/>
          <w:szCs w:val="28"/>
        </w:rPr>
        <w:t>2</w:t>
      </w:r>
      <w:r>
        <w:rPr>
          <w:rFonts w:hint="eastAsia" w:eastAsia="仿宋"/>
          <w:sz w:val="28"/>
          <w:szCs w:val="28"/>
        </w:rPr>
        <w:t>件，培养硕士研究生</w:t>
      </w:r>
      <w:r>
        <w:rPr>
          <w:rFonts w:ascii="Times New Roman" w:hAnsi="Times New Roman" w:eastAsia="仿宋"/>
          <w:sz w:val="28"/>
          <w:szCs w:val="28"/>
        </w:rPr>
        <w:t>4</w:t>
      </w:r>
      <w:r>
        <w:rPr>
          <w:rFonts w:hint="eastAsia" w:eastAsia="仿宋"/>
          <w:sz w:val="28"/>
          <w:szCs w:val="28"/>
        </w:rPr>
        <w:t>名，获得云南省农业节水工程技术研究中心一个。该研究成果被</w:t>
      </w:r>
      <w:r>
        <w:rPr>
          <w:rFonts w:eastAsia="仿宋"/>
          <w:sz w:val="28"/>
          <w:szCs w:val="28"/>
        </w:rPr>
        <w:t>楚雄</w:t>
      </w:r>
      <w:r>
        <w:rPr>
          <w:rFonts w:hint="eastAsia" w:eastAsia="仿宋"/>
          <w:sz w:val="28"/>
          <w:szCs w:val="28"/>
        </w:rPr>
        <w:t>州水文分局</w:t>
      </w:r>
      <w:r>
        <w:rPr>
          <w:rFonts w:eastAsia="仿宋"/>
          <w:sz w:val="28"/>
          <w:szCs w:val="28"/>
        </w:rPr>
        <w:t>、曲靖</w:t>
      </w:r>
      <w:r>
        <w:rPr>
          <w:rFonts w:hint="eastAsia" w:eastAsia="仿宋"/>
          <w:sz w:val="28"/>
          <w:szCs w:val="28"/>
        </w:rPr>
        <w:t>市水文分局、丽江市水文分局等</w:t>
      </w:r>
      <w:r>
        <w:rPr>
          <w:rFonts w:hint="eastAsia" w:ascii="Times New Roman" w:hAnsi="Times New Roman" w:eastAsia="仿宋"/>
          <w:sz w:val="28"/>
          <w:szCs w:val="28"/>
        </w:rPr>
        <w:t>6</w:t>
      </w:r>
      <w:r>
        <w:rPr>
          <w:rFonts w:hint="eastAsia" w:eastAsia="仿宋"/>
          <w:sz w:val="28"/>
          <w:szCs w:val="28"/>
        </w:rPr>
        <w:t>个单位应用于</w:t>
      </w:r>
      <w:r>
        <w:rPr>
          <w:rFonts w:eastAsia="仿宋"/>
          <w:sz w:val="28"/>
          <w:szCs w:val="28"/>
        </w:rPr>
        <w:t>干旱预警及抗旱救灾</w:t>
      </w:r>
      <w:r>
        <w:rPr>
          <w:rFonts w:hint="eastAsia" w:eastAsia="仿宋"/>
          <w:sz w:val="28"/>
          <w:szCs w:val="28"/>
        </w:rPr>
        <w:t>，</w:t>
      </w:r>
      <w:r>
        <w:rPr>
          <w:rFonts w:hint="eastAsia" w:ascii="Times New Roman" w:hAnsi="Times New Roman" w:eastAsia="仿宋"/>
          <w:sz w:val="28"/>
          <w:szCs w:val="28"/>
        </w:rPr>
        <w:t>2</w:t>
      </w:r>
      <w:r>
        <w:rPr>
          <w:rFonts w:ascii="Times New Roman" w:hAnsi="Times New Roman" w:eastAsia="仿宋"/>
          <w:sz w:val="28"/>
          <w:szCs w:val="28"/>
        </w:rPr>
        <w:t>4</w:t>
      </w:r>
      <w:r>
        <w:rPr>
          <w:rFonts w:hint="eastAsia" w:eastAsia="仿宋"/>
          <w:sz w:val="28"/>
          <w:szCs w:val="28"/>
        </w:rPr>
        <w:t>县市、</w:t>
      </w:r>
      <w:r>
        <w:rPr>
          <w:rFonts w:hint="eastAsia" w:ascii="Times New Roman" w:hAnsi="Times New Roman" w:eastAsia="仿宋"/>
          <w:sz w:val="28"/>
          <w:szCs w:val="28"/>
        </w:rPr>
        <w:t>2</w:t>
      </w:r>
      <w:r>
        <w:rPr>
          <w:rFonts w:ascii="Times New Roman" w:hAnsi="Times New Roman" w:eastAsia="仿宋"/>
          <w:sz w:val="28"/>
          <w:szCs w:val="28"/>
        </w:rPr>
        <w:t>2</w:t>
      </w:r>
      <w:r>
        <w:rPr>
          <w:rFonts w:hint="eastAsia" w:eastAsia="仿宋"/>
          <w:sz w:val="28"/>
          <w:szCs w:val="28"/>
        </w:rPr>
        <w:t>个少数民族、超过一千万人口受益；同时，为云南省调水中心拟定年度调水计划提供了重要依据，对牛栏江-滇池补水工程水资源合理配置发挥了作用，促进了经济社会发展和生态环境改善，产生了良好的社会效益、生态效益和经济效益。</w:t>
      </w:r>
    </w:p>
    <w:p>
      <w:pPr>
        <w:widowControl/>
        <w:adjustRightInd w:val="0"/>
        <w:snapToGrid w:val="0"/>
        <w:spacing w:line="560" w:lineRule="exact"/>
        <w:ind w:firstLine="560" w:firstLineChars="200"/>
        <w:jc w:val="left"/>
        <w:outlineLvl w:val="0"/>
        <w:rPr>
          <w:rFonts w:eastAsia="仿宋"/>
          <w:sz w:val="28"/>
          <w:szCs w:val="28"/>
        </w:rPr>
      </w:pPr>
      <w:r>
        <w:rPr>
          <w:rFonts w:eastAsia="仿宋"/>
          <w:sz w:val="28"/>
          <w:szCs w:val="28"/>
        </w:rPr>
        <w:t>经第三方评价机构组织的专家鉴定和</w:t>
      </w:r>
      <w:r>
        <w:rPr>
          <w:rFonts w:hint="eastAsia" w:eastAsia="仿宋"/>
          <w:sz w:val="28"/>
          <w:szCs w:val="28"/>
        </w:rPr>
        <w:t>国家一级科技查新咨询单位</w:t>
      </w:r>
      <w:r>
        <w:rPr>
          <w:rFonts w:eastAsia="仿宋"/>
          <w:sz w:val="28"/>
          <w:szCs w:val="28"/>
        </w:rPr>
        <w:t>查新，</w:t>
      </w:r>
      <w:r>
        <w:rPr>
          <w:rFonts w:hint="eastAsia" w:eastAsia="仿宋"/>
          <w:sz w:val="28"/>
          <w:szCs w:val="28"/>
        </w:rPr>
        <w:t>该项目总体达到国内领先水平，提出的水文综合干旱指数达到国际先进水平。</w:t>
      </w:r>
    </w:p>
    <w:p>
      <w:pPr>
        <w:widowControl/>
        <w:adjustRightInd w:val="0"/>
        <w:snapToGrid w:val="0"/>
        <w:spacing w:line="560" w:lineRule="exact"/>
        <w:ind w:firstLine="602" w:firstLineChars="200"/>
        <w:jc w:val="left"/>
        <w:outlineLvl w:val="0"/>
        <w:rPr>
          <w:rFonts w:eastAsia="仿宋"/>
          <w:b/>
          <w:sz w:val="30"/>
          <w:szCs w:val="30"/>
        </w:rPr>
      </w:pPr>
      <w:r>
        <w:rPr>
          <w:rFonts w:eastAsia="仿宋"/>
          <w:b/>
          <w:sz w:val="30"/>
          <w:szCs w:val="30"/>
        </w:rPr>
        <w:t xml:space="preserve"> 三、代表性</w:t>
      </w:r>
      <w:r>
        <w:rPr>
          <w:rFonts w:hint="eastAsia" w:eastAsia="仿宋"/>
          <w:b/>
          <w:sz w:val="30"/>
          <w:szCs w:val="30"/>
        </w:rPr>
        <w:t>性</w:t>
      </w:r>
      <w:r>
        <w:rPr>
          <w:rFonts w:eastAsia="仿宋"/>
          <w:b/>
          <w:sz w:val="30"/>
          <w:szCs w:val="30"/>
        </w:rPr>
        <w:t>知识产权和标准规范等目录情况（含授权专利、软件著作权、标准、规范、论文、论著）</w:t>
      </w:r>
    </w:p>
    <w:p>
      <w:pPr>
        <w:widowControl/>
        <w:adjustRightInd w:val="0"/>
        <w:snapToGrid w:val="0"/>
        <w:spacing w:line="560" w:lineRule="exact"/>
        <w:ind w:firstLine="562" w:firstLineChars="200"/>
        <w:jc w:val="left"/>
        <w:outlineLvl w:val="0"/>
        <w:rPr>
          <w:rFonts w:eastAsia="仿宋"/>
          <w:b/>
          <w:sz w:val="28"/>
          <w:szCs w:val="28"/>
        </w:rPr>
      </w:pPr>
      <w:r>
        <w:rPr>
          <w:rFonts w:eastAsia="仿宋"/>
          <w:b/>
          <w:sz w:val="28"/>
          <w:szCs w:val="28"/>
        </w:rPr>
        <w:t>（一）授权专利、软件著作权、标准、规范</w:t>
      </w:r>
    </w:p>
    <w:tbl>
      <w:tblPr>
        <w:tblStyle w:val="8"/>
        <w:tblW w:w="90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725"/>
        <w:gridCol w:w="1417"/>
        <w:gridCol w:w="616"/>
        <w:gridCol w:w="1007"/>
        <w:gridCol w:w="892"/>
        <w:gridCol w:w="1372"/>
        <w:gridCol w:w="851"/>
        <w:gridCol w:w="850"/>
        <w:gridCol w:w="8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vAlign w:val="center"/>
          </w:tcPr>
          <w:p>
            <w:pPr>
              <w:widowControl/>
              <w:adjustRightInd w:val="0"/>
              <w:snapToGrid w:val="0"/>
              <w:spacing w:line="240" w:lineRule="exact"/>
              <w:jc w:val="center"/>
              <w:outlineLvl w:val="0"/>
              <w:rPr>
                <w:rFonts w:eastAsia="仿宋"/>
                <w:szCs w:val="21"/>
              </w:rPr>
            </w:pPr>
            <w:r>
              <w:rPr>
                <w:rFonts w:eastAsia="仿宋"/>
                <w:szCs w:val="21"/>
              </w:rPr>
              <w:t>序号</w:t>
            </w:r>
          </w:p>
        </w:tc>
        <w:tc>
          <w:tcPr>
            <w:tcW w:w="725"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知识产权</w:t>
            </w:r>
            <w:r>
              <w:rPr>
                <w:rFonts w:hint="eastAsia" w:ascii="Times New Roman" w:hAnsi="Times New Roman" w:eastAsia="仿宋" w:cs="Times New Roman"/>
                <w:kern w:val="2"/>
                <w:sz w:val="21"/>
                <w:szCs w:val="21"/>
                <w:lang w:val="en-US" w:bidi="ar-SA"/>
              </w:rPr>
              <w:t>（标准）</w:t>
            </w:r>
            <w:r>
              <w:rPr>
                <w:rFonts w:ascii="Times New Roman" w:hAnsi="Times New Roman" w:eastAsia="仿宋" w:cs="Times New Roman"/>
                <w:kern w:val="2"/>
                <w:sz w:val="21"/>
                <w:szCs w:val="21"/>
                <w:lang w:val="en-US" w:bidi="ar-SA"/>
              </w:rPr>
              <w:t>类别</w:t>
            </w:r>
          </w:p>
        </w:tc>
        <w:tc>
          <w:tcPr>
            <w:tcW w:w="141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知识产权（标准）具体</w:t>
            </w:r>
            <w:r>
              <w:rPr>
                <w:rFonts w:ascii="Times New Roman" w:hAnsi="Times New Roman" w:eastAsia="仿宋" w:cs="Times New Roman"/>
                <w:kern w:val="2"/>
                <w:sz w:val="21"/>
                <w:szCs w:val="21"/>
                <w:lang w:val="en-US" w:bidi="ar-SA"/>
              </w:rPr>
              <w:t>名称</w:t>
            </w:r>
          </w:p>
        </w:tc>
        <w:tc>
          <w:tcPr>
            <w:tcW w:w="616"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国</w:t>
            </w:r>
            <w:r>
              <w:rPr>
                <w:rFonts w:hint="eastAsia" w:ascii="Times New Roman" w:hAnsi="Times New Roman" w:eastAsia="仿宋" w:cs="Times New Roman"/>
                <w:kern w:val="2"/>
                <w:sz w:val="21"/>
                <w:szCs w:val="21"/>
                <w:lang w:val="en-US" w:bidi="ar-SA"/>
              </w:rPr>
              <w:t>家</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w:t>
            </w:r>
            <w:r>
              <w:rPr>
                <w:rFonts w:hint="eastAsia" w:ascii="Times New Roman" w:hAnsi="Times New Roman" w:eastAsia="仿宋" w:cs="Times New Roman"/>
                <w:kern w:val="2"/>
                <w:sz w:val="21"/>
                <w:szCs w:val="21"/>
                <w:lang w:val="en-US" w:bidi="ar-SA"/>
              </w:rPr>
              <w:t>地</w:t>
            </w:r>
            <w:r>
              <w:rPr>
                <w:rFonts w:ascii="Times New Roman" w:hAnsi="Times New Roman" w:eastAsia="仿宋" w:cs="Times New Roman"/>
                <w:kern w:val="2"/>
                <w:sz w:val="21"/>
                <w:szCs w:val="21"/>
                <w:lang w:val="en-US" w:bidi="ar-SA"/>
              </w:rPr>
              <w:t>区）</w:t>
            </w:r>
          </w:p>
        </w:tc>
        <w:tc>
          <w:tcPr>
            <w:tcW w:w="100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授权号（标准编号）</w:t>
            </w:r>
          </w:p>
        </w:tc>
        <w:tc>
          <w:tcPr>
            <w:tcW w:w="89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授权（标准发布）日期</w:t>
            </w:r>
          </w:p>
        </w:tc>
        <w:tc>
          <w:tcPr>
            <w:tcW w:w="137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证书编号</w:t>
            </w:r>
            <w:r>
              <w:rPr>
                <w:rFonts w:ascii="Times New Roman" w:hAnsi="Times New Roman" w:eastAsia="仿宋" w:cs="Times New Roman"/>
                <w:kern w:val="2"/>
                <w:sz w:val="21"/>
                <w:szCs w:val="21"/>
                <w:lang w:val="en-US" w:bidi="ar-SA"/>
              </w:rPr>
              <w:br w:type="textWrapping"/>
            </w:r>
            <w:r>
              <w:rPr>
                <w:rFonts w:hint="eastAsia" w:ascii="Times New Roman" w:hAnsi="Times New Roman" w:eastAsia="仿宋" w:cs="Times New Roman"/>
                <w:kern w:val="2"/>
                <w:sz w:val="21"/>
                <w:szCs w:val="21"/>
                <w:lang w:val="en-US" w:bidi="ar-SA"/>
              </w:rPr>
              <w:t>（标准批准发布</w:t>
            </w:r>
            <w:r>
              <w:rPr>
                <w:rFonts w:ascii="Times New Roman" w:hAnsi="Times New Roman" w:eastAsia="仿宋" w:cs="Times New Roman"/>
                <w:kern w:val="2"/>
                <w:sz w:val="21"/>
                <w:szCs w:val="21"/>
                <w:lang w:val="en-US" w:bidi="ar-SA"/>
              </w:rPr>
              <w:t>部门</w:t>
            </w:r>
            <w:r>
              <w:rPr>
                <w:rFonts w:hint="eastAsia" w:ascii="Times New Roman" w:hAnsi="Times New Roman" w:eastAsia="仿宋" w:cs="Times New Roman"/>
                <w:kern w:val="2"/>
                <w:sz w:val="21"/>
                <w:szCs w:val="21"/>
                <w:lang w:val="en-US" w:bidi="ar-SA"/>
              </w:rPr>
              <w:t>）</w:t>
            </w:r>
          </w:p>
        </w:tc>
        <w:tc>
          <w:tcPr>
            <w:tcW w:w="85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权利人</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（标准起草单位）</w:t>
            </w:r>
          </w:p>
        </w:tc>
        <w:tc>
          <w:tcPr>
            <w:tcW w:w="850"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发明人（标准起草人）</w:t>
            </w:r>
          </w:p>
        </w:tc>
        <w:tc>
          <w:tcPr>
            <w:tcW w:w="84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发明专利（标准）有效状态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vAlign w:val="center"/>
          </w:tcPr>
          <w:p>
            <w:pPr>
              <w:widowControl/>
              <w:adjustRightInd w:val="0"/>
              <w:snapToGrid w:val="0"/>
              <w:spacing w:line="240" w:lineRule="exact"/>
              <w:jc w:val="center"/>
              <w:outlineLvl w:val="0"/>
              <w:rPr>
                <w:rFonts w:eastAsia="仿宋"/>
                <w:szCs w:val="21"/>
              </w:rPr>
            </w:pPr>
            <w:r>
              <w:rPr>
                <w:rFonts w:ascii="Times New Roman" w:hAnsi="Times New Roman" w:eastAsia="仿宋"/>
                <w:szCs w:val="21"/>
              </w:rPr>
              <w:t>1</w:t>
            </w:r>
          </w:p>
        </w:tc>
        <w:tc>
          <w:tcPr>
            <w:tcW w:w="725"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软件著作权</w:t>
            </w:r>
          </w:p>
        </w:tc>
        <w:tc>
          <w:tcPr>
            <w:tcW w:w="141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水文综合干旱指数计算软件V1.1</w:t>
            </w:r>
          </w:p>
        </w:tc>
        <w:tc>
          <w:tcPr>
            <w:tcW w:w="616"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中国</w:t>
            </w:r>
          </w:p>
        </w:tc>
        <w:tc>
          <w:tcPr>
            <w:tcW w:w="100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2013SR060856</w:t>
            </w:r>
          </w:p>
        </w:tc>
        <w:tc>
          <w:tcPr>
            <w:tcW w:w="89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2013</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06</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24</w:t>
            </w:r>
          </w:p>
        </w:tc>
        <w:tc>
          <w:tcPr>
            <w:tcW w:w="137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证书号：软著登字0566618</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国家版权局</w:t>
            </w:r>
          </w:p>
        </w:tc>
        <w:tc>
          <w:tcPr>
            <w:tcW w:w="85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龙晓敏</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王琳；</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杨蕊</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文俊</w:t>
            </w:r>
          </w:p>
        </w:tc>
        <w:tc>
          <w:tcPr>
            <w:tcW w:w="850"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龙晓敏</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王琳；</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杨蕊</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文俊</w:t>
            </w:r>
          </w:p>
        </w:tc>
        <w:tc>
          <w:tcPr>
            <w:tcW w:w="84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vAlign w:val="center"/>
          </w:tcPr>
          <w:p>
            <w:pPr>
              <w:widowControl/>
              <w:adjustRightInd w:val="0"/>
              <w:snapToGrid w:val="0"/>
              <w:spacing w:line="240" w:lineRule="exact"/>
              <w:jc w:val="center"/>
              <w:outlineLvl w:val="0"/>
              <w:rPr>
                <w:rFonts w:eastAsia="仿宋"/>
                <w:szCs w:val="21"/>
              </w:rPr>
            </w:pPr>
            <w:r>
              <w:rPr>
                <w:rFonts w:ascii="Times New Roman" w:hAnsi="Times New Roman" w:eastAsia="仿宋"/>
                <w:szCs w:val="21"/>
              </w:rPr>
              <w:t>2</w:t>
            </w:r>
          </w:p>
        </w:tc>
        <w:tc>
          <w:tcPr>
            <w:tcW w:w="725"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软件著作权</w:t>
            </w:r>
          </w:p>
        </w:tc>
        <w:tc>
          <w:tcPr>
            <w:tcW w:w="1417" w:type="dxa"/>
            <w:vAlign w:val="center"/>
          </w:tcPr>
          <w:p>
            <w:pPr>
              <w:pStyle w:val="20"/>
              <w:snapToGrid w:val="0"/>
              <w:spacing w:line="240" w:lineRule="exact"/>
              <w:jc w:val="center"/>
              <w:outlineLvl w:val="0"/>
              <w:rPr>
                <w:rFonts w:ascii="Times New Roman" w:hAnsi="Times New Roman" w:eastAsia="仿宋" w:cs="Times New Roman"/>
                <w:color w:val="auto"/>
                <w:kern w:val="2"/>
                <w:sz w:val="21"/>
                <w:szCs w:val="21"/>
              </w:rPr>
            </w:pPr>
            <w:r>
              <w:rPr>
                <w:rFonts w:ascii="Times New Roman" w:hAnsi="Times New Roman" w:eastAsia="仿宋" w:cs="Times New Roman"/>
                <w:color w:val="auto"/>
                <w:kern w:val="2"/>
                <w:sz w:val="21"/>
                <w:szCs w:val="21"/>
              </w:rPr>
              <w:t>云南省干旱监测预测系统V1.1</w:t>
            </w:r>
          </w:p>
        </w:tc>
        <w:tc>
          <w:tcPr>
            <w:tcW w:w="616"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中国</w:t>
            </w:r>
          </w:p>
        </w:tc>
        <w:tc>
          <w:tcPr>
            <w:tcW w:w="100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2012SR036509</w:t>
            </w:r>
          </w:p>
        </w:tc>
        <w:tc>
          <w:tcPr>
            <w:tcW w:w="89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w:t>
            </w:r>
            <w:r>
              <w:rPr>
                <w:rFonts w:hint="eastAsia" w:ascii="Times New Roman" w:hAnsi="Times New Roman" w:eastAsia="仿宋" w:cs="Times New Roman"/>
                <w:kern w:val="2"/>
                <w:sz w:val="21"/>
                <w:szCs w:val="21"/>
                <w:lang w:val="en-US" w:bidi="ar-SA"/>
              </w:rPr>
              <w:t>2.</w:t>
            </w:r>
            <w:r>
              <w:rPr>
                <w:rFonts w:ascii="Times New Roman" w:hAnsi="Times New Roman" w:eastAsia="仿宋" w:cs="Times New Roman"/>
                <w:kern w:val="2"/>
                <w:sz w:val="21"/>
                <w:szCs w:val="21"/>
                <w:lang w:val="en-US" w:bidi="ar-SA"/>
              </w:rPr>
              <w:t>05</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09</w:t>
            </w:r>
          </w:p>
        </w:tc>
        <w:tc>
          <w:tcPr>
            <w:tcW w:w="137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证书号：软著登字0404545</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国家版权局</w:t>
            </w:r>
          </w:p>
        </w:tc>
        <w:tc>
          <w:tcPr>
            <w:tcW w:w="85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龙晓敏</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杨蕊</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文俊；</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黄英</w:t>
            </w:r>
          </w:p>
        </w:tc>
        <w:tc>
          <w:tcPr>
            <w:tcW w:w="850"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龙晓敏</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杨蕊</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文俊；</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黄英</w:t>
            </w:r>
          </w:p>
        </w:tc>
        <w:tc>
          <w:tcPr>
            <w:tcW w:w="84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vAlign w:val="center"/>
          </w:tcPr>
          <w:p>
            <w:pPr>
              <w:widowControl/>
              <w:adjustRightInd w:val="0"/>
              <w:snapToGrid w:val="0"/>
              <w:spacing w:line="240" w:lineRule="exact"/>
              <w:jc w:val="center"/>
              <w:outlineLvl w:val="0"/>
              <w:rPr>
                <w:rFonts w:eastAsia="仿宋"/>
                <w:szCs w:val="21"/>
              </w:rPr>
            </w:pPr>
            <w:r>
              <w:rPr>
                <w:rFonts w:hint="eastAsia" w:ascii="Times New Roman" w:hAnsi="Times New Roman" w:eastAsia="仿宋"/>
                <w:szCs w:val="21"/>
              </w:rPr>
              <w:t>3</w:t>
            </w:r>
          </w:p>
        </w:tc>
        <w:tc>
          <w:tcPr>
            <w:tcW w:w="725"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实用新型专利</w:t>
            </w:r>
          </w:p>
        </w:tc>
        <w:tc>
          <w:tcPr>
            <w:tcW w:w="1417" w:type="dxa"/>
            <w:vAlign w:val="center"/>
          </w:tcPr>
          <w:p>
            <w:pPr>
              <w:pStyle w:val="20"/>
              <w:snapToGrid w:val="0"/>
              <w:spacing w:line="240" w:lineRule="exact"/>
              <w:jc w:val="center"/>
              <w:outlineLvl w:val="0"/>
              <w:rPr>
                <w:rFonts w:ascii="Times New Roman" w:hAnsi="Times New Roman" w:eastAsia="仿宋" w:cs="Times New Roman"/>
                <w:color w:val="auto"/>
                <w:kern w:val="2"/>
                <w:sz w:val="21"/>
                <w:szCs w:val="21"/>
              </w:rPr>
            </w:pPr>
            <w:r>
              <w:rPr>
                <w:rFonts w:ascii="Times New Roman" w:hAnsi="Times New Roman" w:eastAsia="仿宋" w:cs="Times New Roman"/>
                <w:color w:val="auto"/>
                <w:kern w:val="2"/>
                <w:sz w:val="21"/>
                <w:szCs w:val="21"/>
              </w:rPr>
              <w:t>一种不同深度土壤含水量检测装置</w:t>
            </w:r>
          </w:p>
        </w:tc>
        <w:tc>
          <w:tcPr>
            <w:tcW w:w="616"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中国</w:t>
            </w:r>
          </w:p>
        </w:tc>
        <w:tc>
          <w:tcPr>
            <w:tcW w:w="100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Zl201721430031.6</w:t>
            </w:r>
          </w:p>
        </w:tc>
        <w:tc>
          <w:tcPr>
            <w:tcW w:w="89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2018</w:t>
            </w:r>
            <w:r>
              <w:rPr>
                <w:rFonts w:hint="eastAsia" w:ascii="Times New Roman" w:hAnsi="Times New Roman" w:eastAsia="仿宋" w:cs="Times New Roman"/>
                <w:kern w:val="2"/>
                <w:sz w:val="21"/>
                <w:szCs w:val="21"/>
                <w:lang w:val="en-US" w:bidi="ar-SA"/>
              </w:rPr>
              <w:t>.05.15</w:t>
            </w:r>
          </w:p>
        </w:tc>
        <w:tc>
          <w:tcPr>
            <w:tcW w:w="137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证书号：7351262</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国家知识产权局</w:t>
            </w:r>
          </w:p>
        </w:tc>
        <w:tc>
          <w:tcPr>
            <w:tcW w:w="85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云南</w:t>
            </w:r>
            <w:r>
              <w:rPr>
                <w:rFonts w:ascii="Times New Roman" w:hAnsi="Times New Roman" w:eastAsia="仿宋" w:cs="Times New Roman"/>
                <w:kern w:val="2"/>
                <w:sz w:val="21"/>
                <w:szCs w:val="21"/>
                <w:lang w:val="en-US" w:bidi="ar-SA"/>
              </w:rPr>
              <w:t>农业大学</w:t>
            </w:r>
          </w:p>
        </w:tc>
        <w:tc>
          <w:tcPr>
            <w:tcW w:w="850"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杨蕊；</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余航；</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高瑞；</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王琳</w:t>
            </w:r>
          </w:p>
        </w:tc>
        <w:tc>
          <w:tcPr>
            <w:tcW w:w="84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vAlign w:val="center"/>
          </w:tcPr>
          <w:p>
            <w:pPr>
              <w:widowControl/>
              <w:adjustRightInd w:val="0"/>
              <w:snapToGrid w:val="0"/>
              <w:spacing w:line="240" w:lineRule="exact"/>
              <w:jc w:val="center"/>
              <w:outlineLvl w:val="0"/>
              <w:rPr>
                <w:rFonts w:eastAsia="仿宋"/>
                <w:szCs w:val="21"/>
              </w:rPr>
            </w:pPr>
            <w:r>
              <w:rPr>
                <w:rFonts w:hint="eastAsia" w:ascii="Times New Roman" w:hAnsi="Times New Roman" w:eastAsia="仿宋"/>
                <w:szCs w:val="21"/>
              </w:rPr>
              <w:t>4</w:t>
            </w:r>
          </w:p>
        </w:tc>
        <w:tc>
          <w:tcPr>
            <w:tcW w:w="725"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实用新型专利</w:t>
            </w:r>
          </w:p>
        </w:tc>
        <w:tc>
          <w:tcPr>
            <w:tcW w:w="1417" w:type="dxa"/>
            <w:vAlign w:val="center"/>
          </w:tcPr>
          <w:p>
            <w:pPr>
              <w:pStyle w:val="20"/>
              <w:snapToGrid w:val="0"/>
              <w:spacing w:line="240" w:lineRule="exact"/>
              <w:jc w:val="center"/>
              <w:outlineLvl w:val="0"/>
              <w:rPr>
                <w:rFonts w:ascii="Times New Roman" w:hAnsi="Times New Roman" w:eastAsia="仿宋" w:cs="Times New Roman"/>
                <w:color w:val="auto"/>
                <w:kern w:val="2"/>
                <w:sz w:val="21"/>
                <w:szCs w:val="21"/>
              </w:rPr>
            </w:pPr>
            <w:r>
              <w:rPr>
                <w:rFonts w:ascii="Times New Roman" w:hAnsi="Times New Roman" w:eastAsia="仿宋" w:cs="Times New Roman"/>
                <w:color w:val="auto"/>
                <w:kern w:val="2"/>
                <w:sz w:val="21"/>
                <w:szCs w:val="21"/>
              </w:rPr>
              <w:t>一种水稻田间蒸散量简易检测装置</w:t>
            </w:r>
          </w:p>
        </w:tc>
        <w:tc>
          <w:tcPr>
            <w:tcW w:w="616"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中国</w:t>
            </w:r>
          </w:p>
        </w:tc>
        <w:tc>
          <w:tcPr>
            <w:tcW w:w="1007"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Zl201721410541.7</w:t>
            </w:r>
          </w:p>
        </w:tc>
        <w:tc>
          <w:tcPr>
            <w:tcW w:w="89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2018</w:t>
            </w:r>
            <w:r>
              <w:rPr>
                <w:rFonts w:hint="eastAsia" w:ascii="Times New Roman" w:hAnsi="Times New Roman" w:eastAsia="仿宋" w:cs="Times New Roman"/>
                <w:kern w:val="2"/>
                <w:sz w:val="21"/>
                <w:szCs w:val="21"/>
                <w:lang w:val="en-US" w:bidi="ar-SA"/>
              </w:rPr>
              <w:t>.05.15</w:t>
            </w:r>
          </w:p>
        </w:tc>
        <w:tc>
          <w:tcPr>
            <w:tcW w:w="1372"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证书号：7350484</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国家知识产权局</w:t>
            </w:r>
          </w:p>
        </w:tc>
        <w:tc>
          <w:tcPr>
            <w:tcW w:w="85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云南</w:t>
            </w:r>
            <w:r>
              <w:rPr>
                <w:rFonts w:ascii="Times New Roman" w:hAnsi="Times New Roman" w:eastAsia="仿宋" w:cs="Times New Roman"/>
                <w:kern w:val="2"/>
                <w:sz w:val="21"/>
                <w:szCs w:val="21"/>
                <w:lang w:val="en-US" w:bidi="ar-SA"/>
              </w:rPr>
              <w:t>农业大学</w:t>
            </w:r>
          </w:p>
        </w:tc>
        <w:tc>
          <w:tcPr>
            <w:tcW w:w="850"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w:t>
            </w:r>
            <w:r>
              <w:rPr>
                <w:rFonts w:hint="eastAsia" w:ascii="Times New Roman" w:hAnsi="Times New Roman" w:eastAsia="仿宋" w:cs="Times New Roman"/>
                <w:kern w:val="2"/>
                <w:sz w:val="21"/>
                <w:szCs w:val="21"/>
                <w:lang w:val="en-US" w:bidi="ar-SA"/>
              </w:rPr>
              <w:t>；</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杨蕊；</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高瑞；</w:t>
            </w:r>
          </w:p>
        </w:tc>
        <w:tc>
          <w:tcPr>
            <w:tcW w:w="841" w:type="dxa"/>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有效</w:t>
            </w:r>
          </w:p>
        </w:tc>
      </w:tr>
    </w:tbl>
    <w:p>
      <w:pPr>
        <w:widowControl/>
        <w:adjustRightInd w:val="0"/>
        <w:snapToGrid w:val="0"/>
        <w:spacing w:line="560" w:lineRule="exact"/>
        <w:ind w:firstLine="562" w:firstLineChars="200"/>
        <w:jc w:val="left"/>
        <w:outlineLvl w:val="0"/>
        <w:rPr>
          <w:rFonts w:eastAsia="仿宋"/>
          <w:b/>
          <w:sz w:val="28"/>
          <w:szCs w:val="28"/>
        </w:rPr>
      </w:pPr>
    </w:p>
    <w:p>
      <w:pPr>
        <w:widowControl/>
        <w:adjustRightInd w:val="0"/>
        <w:snapToGrid w:val="0"/>
        <w:spacing w:line="560" w:lineRule="exact"/>
        <w:ind w:firstLine="562" w:firstLineChars="200"/>
        <w:jc w:val="left"/>
        <w:outlineLvl w:val="0"/>
        <w:rPr>
          <w:rFonts w:eastAsia="仿宋"/>
          <w:b/>
          <w:sz w:val="28"/>
          <w:szCs w:val="28"/>
        </w:rPr>
      </w:pPr>
    </w:p>
    <w:p>
      <w:pPr>
        <w:widowControl/>
        <w:adjustRightInd w:val="0"/>
        <w:snapToGrid w:val="0"/>
        <w:spacing w:line="560" w:lineRule="exact"/>
        <w:ind w:firstLine="562" w:firstLineChars="200"/>
        <w:jc w:val="left"/>
        <w:outlineLvl w:val="0"/>
        <w:rPr>
          <w:rFonts w:eastAsia="仿宋"/>
          <w:b/>
          <w:sz w:val="28"/>
          <w:szCs w:val="28"/>
        </w:rPr>
      </w:pPr>
      <w:r>
        <w:rPr>
          <w:rFonts w:eastAsia="仿宋"/>
          <w:b/>
          <w:sz w:val="28"/>
          <w:szCs w:val="28"/>
        </w:rPr>
        <w:t>（二）代表性论文</w:t>
      </w:r>
      <w:r>
        <w:rPr>
          <w:rFonts w:hint="eastAsia" w:eastAsia="仿宋"/>
          <w:b/>
          <w:sz w:val="28"/>
          <w:szCs w:val="28"/>
        </w:rPr>
        <w:t>论著</w:t>
      </w:r>
    </w:p>
    <w:tbl>
      <w:tblPr>
        <w:tblStyle w:val="8"/>
        <w:tblW w:w="5203" w:type="pct"/>
        <w:jc w:val="center"/>
        <w:tblLayout w:type="autofit"/>
        <w:tblCellMar>
          <w:top w:w="0" w:type="dxa"/>
          <w:left w:w="0" w:type="dxa"/>
          <w:bottom w:w="0" w:type="dxa"/>
          <w:right w:w="0" w:type="dxa"/>
        </w:tblCellMar>
      </w:tblPr>
      <w:tblGrid>
        <w:gridCol w:w="475"/>
        <w:gridCol w:w="2936"/>
        <w:gridCol w:w="1753"/>
        <w:gridCol w:w="1396"/>
        <w:gridCol w:w="1152"/>
        <w:gridCol w:w="948"/>
      </w:tblGrid>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序号</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论文、专著名称</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刊名、出版社</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通信作者/</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第一责任人、</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第一作者</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发表时间</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页码</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1</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水文综合干旱指数及重现期研究</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云南科技出版社</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王龙,杨蕊</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余航</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杨茂灵,付奔</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高瑞</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2017.04</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179</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云南干旱时空分布及预警系统研究</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云南科技出版社</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王龙,余航</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杨蕊</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高瑞</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龙晓敏</w:t>
            </w: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杨茂灵</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2017.04</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210</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3</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A drought index: The standardized precipitation evapotranspiration run off index</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Journal of Hydrology</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（SCI 一区）</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余航/王龙</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2019.0</w:t>
            </w:r>
            <w:r>
              <w:rPr>
                <w:rFonts w:hint="eastAsia" w:ascii="Times New Roman" w:hAnsi="Times New Roman" w:eastAsia="仿宋" w:cs="Times New Roman"/>
                <w:kern w:val="2"/>
                <w:sz w:val="21"/>
                <w:szCs w:val="21"/>
                <w:lang w:val="en-US" w:bidi="ar-SA"/>
              </w:rPr>
              <w:t>2</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651-668</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ascii="Times New Roman" w:hAnsi="Times New Roman" w:eastAsia="仿宋" w:cs="Times New Roman"/>
                <w:kern w:val="2"/>
                <w:sz w:val="21"/>
                <w:szCs w:val="21"/>
                <w:lang w:val="en-US" w:bidi="ar-SA"/>
              </w:rPr>
              <w:t>4</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云南省500年干旱灾害时空分布研究</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干旱区资源与环境（</w:t>
            </w:r>
            <w:r>
              <w:rPr>
                <w:rFonts w:ascii="Times New Roman" w:hAnsi="Times New Roman" w:eastAsia="仿宋" w:cs="Times New Roman"/>
                <w:kern w:val="2"/>
                <w:sz w:val="21"/>
                <w:szCs w:val="21"/>
                <w:lang w:val="en-US" w:bidi="ar-SA"/>
              </w:rPr>
              <w:t>CSSCI</w:t>
            </w:r>
            <w:r>
              <w:rPr>
                <w:rFonts w:hint="eastAsia" w:ascii="Times New Roman" w:hAnsi="Times New Roman" w:eastAsia="仿宋" w:cs="Times New Roman"/>
                <w:kern w:val="2"/>
                <w:sz w:val="21"/>
                <w:szCs w:val="21"/>
                <w:lang w:val="en-US" w:bidi="ar-SA"/>
              </w:rPr>
              <w:t xml:space="preserve"> 、CSCD、中文核心）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王龙/余航</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2014.12</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38-44</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5</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云南干旱“常态化”的分析</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水文</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王龙/付奔</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2014.08</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82-85</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6</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基于Pair-copula函数和标准化径流指数的水文干旱频率分析——以南盘江流域为例</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长江流域资源与环境（</w:t>
            </w:r>
            <w:r>
              <w:rPr>
                <w:rFonts w:ascii="Times New Roman" w:hAnsi="Times New Roman" w:eastAsia="仿宋" w:cs="Times New Roman"/>
                <w:kern w:val="2"/>
                <w:sz w:val="21"/>
                <w:szCs w:val="21"/>
                <w:lang w:val="en-US" w:bidi="ar-SA"/>
              </w:rPr>
              <w:t>CSSCI</w:t>
            </w:r>
            <w:r>
              <w:rPr>
                <w:rFonts w:hint="eastAsia" w:ascii="Times New Roman" w:hAnsi="Times New Roman" w:eastAsia="仿宋" w:cs="Times New Roman"/>
                <w:kern w:val="2"/>
                <w:sz w:val="21"/>
                <w:szCs w:val="21"/>
                <w:lang w:val="en-US" w:bidi="ar-SA"/>
              </w:rPr>
              <w:t xml:space="preserve"> 、CSCD、中文核心）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w:t>
            </w:r>
            <w:r>
              <w:rPr>
                <w:rFonts w:ascii="Times New Roman" w:hAnsi="Times New Roman" w:eastAsia="仿宋" w:cs="Times New Roman"/>
                <w:kern w:val="2"/>
                <w:sz w:val="21"/>
                <w:szCs w:val="21"/>
                <w:lang w:val="en-US" w:bidi="ar-SA"/>
              </w:rPr>
              <w:t>杨茂灵</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2014.09</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1315-1321</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7</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南盘江流域近30年季节性干旱时空分布特征</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长江流域资源与环境（</w:t>
            </w:r>
            <w:r>
              <w:rPr>
                <w:rFonts w:ascii="Times New Roman" w:hAnsi="Times New Roman" w:eastAsia="仿宋" w:cs="Times New Roman"/>
                <w:kern w:val="2"/>
                <w:sz w:val="21"/>
                <w:szCs w:val="21"/>
                <w:lang w:val="en-US" w:bidi="ar-SA"/>
              </w:rPr>
              <w:t>CSSCI</w:t>
            </w:r>
            <w:r>
              <w:rPr>
                <w:rFonts w:hint="eastAsia" w:ascii="Times New Roman" w:hAnsi="Times New Roman" w:eastAsia="仿宋" w:cs="Times New Roman"/>
                <w:kern w:val="2"/>
                <w:sz w:val="21"/>
                <w:szCs w:val="21"/>
                <w:lang w:val="en-US" w:bidi="ar-SA"/>
              </w:rPr>
              <w:t xml:space="preserve"> 、CSCD、中文核心）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w:t>
            </w:r>
            <w:r>
              <w:rPr>
                <w:rFonts w:ascii="Times New Roman" w:hAnsi="Times New Roman" w:eastAsia="仿宋" w:cs="Times New Roman"/>
                <w:kern w:val="2"/>
                <w:sz w:val="21"/>
                <w:szCs w:val="21"/>
                <w:lang w:val="en-US" w:bidi="ar-SA"/>
              </w:rPr>
              <w:t>杨茂灵</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2013.02</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91-94</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8</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滇中干旱时空分布及其演变规律研究</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灌溉排水学报</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w:t>
            </w:r>
            <w:r>
              <w:rPr>
                <w:rFonts w:ascii="Times New Roman" w:hAnsi="Times New Roman" w:eastAsia="仿宋" w:cs="Times New Roman"/>
                <w:kern w:val="2"/>
                <w:sz w:val="21"/>
                <w:szCs w:val="21"/>
                <w:lang w:val="en-US" w:bidi="ar-SA"/>
              </w:rPr>
              <w:t>CSCD</w:t>
            </w:r>
            <w:r>
              <w:rPr>
                <w:rFonts w:hint="eastAsia" w:ascii="Times New Roman" w:hAnsi="Times New Roman" w:eastAsia="仿宋" w:cs="Times New Roman"/>
                <w:kern w:val="2"/>
                <w:sz w:val="21"/>
                <w:szCs w:val="21"/>
                <w:lang w:val="en-US" w:bidi="ar-SA"/>
              </w:rPr>
              <w:t>、中文核心）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王龙/高瑞</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2015.06</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95-98</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9</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基于SPEI的滇中季节性干旱时空特征分析</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云南农业大学学报(自然科学)</w:t>
            </w:r>
          </w:p>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王龙/高瑞</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2019.05</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516-521</w:t>
            </w:r>
          </w:p>
        </w:tc>
      </w:tr>
      <w:tr>
        <w:tblPrEx>
          <w:tblCellMar>
            <w:top w:w="0" w:type="dxa"/>
            <w:left w:w="0" w:type="dxa"/>
            <w:bottom w:w="0" w:type="dxa"/>
            <w:right w:w="0" w:type="dxa"/>
          </w:tblCellMar>
        </w:tblPrEx>
        <w:trPr>
          <w:trHeight w:val="340" w:hRule="atLeast"/>
          <w:jc w:val="center"/>
        </w:trPr>
        <w:tc>
          <w:tcPr>
            <w:tcW w:w="274"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10</w:t>
            </w:r>
          </w:p>
        </w:tc>
        <w:tc>
          <w:tcPr>
            <w:tcW w:w="169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南盘江流域水文干旱对气象干旱的响应特征</w:t>
            </w:r>
          </w:p>
        </w:tc>
        <w:tc>
          <w:tcPr>
            <w:tcW w:w="1012"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南水北调与水利科技（CSCD、中文核心）</w:t>
            </w:r>
          </w:p>
        </w:tc>
        <w:tc>
          <w:tcPr>
            <w:tcW w:w="806"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王龙/</w:t>
            </w:r>
            <w:r>
              <w:rPr>
                <w:rFonts w:ascii="Times New Roman" w:hAnsi="Times New Roman" w:eastAsia="仿宋" w:cs="Times New Roman"/>
                <w:kern w:val="2"/>
                <w:sz w:val="21"/>
                <w:szCs w:val="21"/>
                <w:lang w:val="en-US" w:bidi="ar-SA"/>
              </w:rPr>
              <w:t>张建龙</w:t>
            </w:r>
          </w:p>
        </w:tc>
        <w:tc>
          <w:tcPr>
            <w:tcW w:w="665"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2014.05</w:t>
            </w:r>
          </w:p>
        </w:tc>
        <w:tc>
          <w:tcPr>
            <w:tcW w:w="547" w:type="pct"/>
            <w:tcBorders>
              <w:top w:val="single" w:color="auto" w:sz="6" w:space="0"/>
              <w:left w:val="single" w:color="auto" w:sz="6" w:space="0"/>
              <w:bottom w:val="single" w:color="auto" w:sz="6" w:space="0"/>
              <w:right w:val="single" w:color="auto" w:sz="6" w:space="0"/>
            </w:tcBorders>
            <w:vAlign w:val="center"/>
          </w:tcPr>
          <w:p>
            <w:pPr>
              <w:pStyle w:val="3"/>
              <w:adjustRightInd w:val="0"/>
              <w:snapToGrid w:val="0"/>
              <w:spacing w:line="240" w:lineRule="exact"/>
              <w:ind w:firstLine="0" w:firstLineChars="0"/>
              <w:jc w:val="center"/>
              <w:outlineLvl w:val="0"/>
              <w:rPr>
                <w:rFonts w:ascii="Times New Roman" w:hAnsi="Times New Roman" w:eastAsia="仿宋" w:cs="Times New Roman"/>
                <w:kern w:val="2"/>
                <w:sz w:val="21"/>
                <w:szCs w:val="21"/>
                <w:lang w:val="en-US" w:bidi="ar-SA"/>
              </w:rPr>
            </w:pPr>
            <w:r>
              <w:rPr>
                <w:rFonts w:hint="eastAsia" w:ascii="Times New Roman" w:hAnsi="Times New Roman" w:eastAsia="仿宋" w:cs="Times New Roman"/>
                <w:kern w:val="2"/>
                <w:sz w:val="21"/>
                <w:szCs w:val="21"/>
                <w:lang w:val="en-US" w:bidi="ar-SA"/>
              </w:rPr>
              <w:t>82-85</w:t>
            </w:r>
          </w:p>
        </w:tc>
      </w:tr>
    </w:tbl>
    <w:p>
      <w:pPr>
        <w:widowControl/>
        <w:adjustRightInd w:val="0"/>
        <w:snapToGrid w:val="0"/>
        <w:spacing w:line="560" w:lineRule="exact"/>
        <w:ind w:firstLine="643" w:firstLineChars="200"/>
        <w:jc w:val="left"/>
        <w:outlineLvl w:val="0"/>
        <w:rPr>
          <w:rFonts w:eastAsia="仿宋"/>
          <w:b/>
          <w:sz w:val="32"/>
          <w:szCs w:val="32"/>
        </w:rPr>
      </w:pPr>
      <w:r>
        <w:rPr>
          <w:rFonts w:hint="eastAsia" w:eastAsia="仿宋"/>
          <w:b/>
          <w:sz w:val="32"/>
          <w:szCs w:val="32"/>
        </w:rPr>
        <w:t>四</w:t>
      </w:r>
      <w:r>
        <w:rPr>
          <w:rFonts w:eastAsia="仿宋"/>
          <w:b/>
          <w:sz w:val="32"/>
          <w:szCs w:val="32"/>
        </w:rPr>
        <w:t>、主要完成人基本情况</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885"/>
        <w:gridCol w:w="885"/>
        <w:gridCol w:w="1761"/>
        <w:gridCol w:w="885"/>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eastAsia="仿宋"/>
                <w:bCs/>
                <w:szCs w:val="21"/>
              </w:rPr>
              <w:t>序号</w:t>
            </w:r>
          </w:p>
        </w:tc>
        <w:tc>
          <w:tcPr>
            <w:tcW w:w="519" w:type="pct"/>
            <w:vAlign w:val="center"/>
          </w:tcPr>
          <w:p>
            <w:pPr>
              <w:adjustRightInd w:val="0"/>
              <w:snapToGrid w:val="0"/>
              <w:jc w:val="center"/>
              <w:rPr>
                <w:rFonts w:eastAsia="仿宋"/>
                <w:bCs/>
                <w:szCs w:val="21"/>
              </w:rPr>
            </w:pPr>
            <w:r>
              <w:rPr>
                <w:rFonts w:eastAsia="仿宋"/>
                <w:bCs/>
                <w:szCs w:val="21"/>
              </w:rPr>
              <w:t>姓名</w:t>
            </w:r>
          </w:p>
        </w:tc>
        <w:tc>
          <w:tcPr>
            <w:tcW w:w="519" w:type="pct"/>
            <w:vAlign w:val="center"/>
          </w:tcPr>
          <w:p>
            <w:pPr>
              <w:adjustRightInd w:val="0"/>
              <w:snapToGrid w:val="0"/>
              <w:jc w:val="center"/>
              <w:rPr>
                <w:rFonts w:eastAsia="仿宋"/>
                <w:bCs/>
                <w:szCs w:val="21"/>
              </w:rPr>
            </w:pPr>
            <w:r>
              <w:rPr>
                <w:rFonts w:eastAsia="仿宋"/>
                <w:bCs/>
                <w:szCs w:val="21"/>
              </w:rPr>
              <w:t>性别</w:t>
            </w:r>
          </w:p>
        </w:tc>
        <w:tc>
          <w:tcPr>
            <w:tcW w:w="1033" w:type="pct"/>
            <w:vAlign w:val="center"/>
          </w:tcPr>
          <w:p>
            <w:pPr>
              <w:adjustRightInd w:val="0"/>
              <w:snapToGrid w:val="0"/>
              <w:jc w:val="center"/>
              <w:rPr>
                <w:rFonts w:eastAsia="仿宋"/>
                <w:bCs/>
                <w:szCs w:val="21"/>
              </w:rPr>
            </w:pPr>
            <w:r>
              <w:rPr>
                <w:rFonts w:eastAsia="仿宋"/>
                <w:bCs/>
                <w:szCs w:val="21"/>
              </w:rPr>
              <w:t>职称</w:t>
            </w:r>
          </w:p>
        </w:tc>
        <w:tc>
          <w:tcPr>
            <w:tcW w:w="519" w:type="pct"/>
            <w:vAlign w:val="center"/>
          </w:tcPr>
          <w:p>
            <w:pPr>
              <w:adjustRightInd w:val="0"/>
              <w:snapToGrid w:val="0"/>
              <w:jc w:val="center"/>
              <w:rPr>
                <w:rFonts w:eastAsia="仿宋"/>
                <w:bCs/>
                <w:szCs w:val="21"/>
              </w:rPr>
            </w:pPr>
            <w:r>
              <w:rPr>
                <w:rFonts w:hint="eastAsia" w:eastAsia="仿宋"/>
                <w:bCs/>
                <w:szCs w:val="21"/>
              </w:rPr>
              <w:t>学历</w:t>
            </w:r>
          </w:p>
        </w:tc>
        <w:tc>
          <w:tcPr>
            <w:tcW w:w="1890" w:type="pct"/>
            <w:vAlign w:val="center"/>
          </w:tcPr>
          <w:p>
            <w:pPr>
              <w:adjustRightInd w:val="0"/>
              <w:snapToGrid w:val="0"/>
              <w:jc w:val="center"/>
              <w:rPr>
                <w:rFonts w:eastAsia="仿宋"/>
                <w:bCs/>
                <w:szCs w:val="21"/>
              </w:rPr>
            </w:pPr>
            <w:r>
              <w:rPr>
                <w:rFonts w:eastAsia="仿宋"/>
                <w:bCs/>
                <w:szCs w:val="21"/>
              </w:rPr>
              <w:t>工作单位</w:t>
            </w:r>
            <w:r>
              <w:rPr>
                <w:rFonts w:hint="eastAsia" w:eastAsia="仿宋"/>
                <w:bCs/>
                <w:szCs w:val="21"/>
              </w:rPr>
              <w:t>（完成单位）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1</w:t>
            </w:r>
          </w:p>
        </w:tc>
        <w:tc>
          <w:tcPr>
            <w:tcW w:w="519" w:type="pct"/>
            <w:vAlign w:val="center"/>
          </w:tcPr>
          <w:p>
            <w:pPr>
              <w:adjustRightInd w:val="0"/>
              <w:snapToGrid w:val="0"/>
              <w:jc w:val="center"/>
              <w:rPr>
                <w:rFonts w:eastAsia="仿宋"/>
                <w:bCs/>
                <w:szCs w:val="21"/>
              </w:rPr>
            </w:pPr>
            <w:r>
              <w:rPr>
                <w:rFonts w:hint="eastAsia" w:eastAsia="仿宋"/>
                <w:bCs/>
                <w:szCs w:val="21"/>
              </w:rPr>
              <w:t>王龙</w:t>
            </w:r>
          </w:p>
        </w:tc>
        <w:tc>
          <w:tcPr>
            <w:tcW w:w="519" w:type="pct"/>
            <w:vAlign w:val="center"/>
          </w:tcPr>
          <w:p>
            <w:pPr>
              <w:adjustRightInd w:val="0"/>
              <w:snapToGrid w:val="0"/>
              <w:jc w:val="center"/>
              <w:rPr>
                <w:rFonts w:eastAsia="仿宋"/>
                <w:bCs/>
                <w:szCs w:val="21"/>
              </w:rPr>
            </w:pPr>
            <w:r>
              <w:rPr>
                <w:rFonts w:hint="eastAsia" w:eastAsia="仿宋"/>
                <w:bCs/>
                <w:szCs w:val="21"/>
              </w:rPr>
              <w:t>男</w:t>
            </w:r>
          </w:p>
        </w:tc>
        <w:tc>
          <w:tcPr>
            <w:tcW w:w="1033" w:type="pct"/>
            <w:vAlign w:val="center"/>
          </w:tcPr>
          <w:p>
            <w:pPr>
              <w:tabs>
                <w:tab w:val="left" w:pos="437"/>
              </w:tabs>
              <w:adjustRightInd w:val="0"/>
              <w:snapToGrid w:val="0"/>
              <w:jc w:val="center"/>
              <w:rPr>
                <w:rFonts w:eastAsia="仿宋"/>
                <w:bCs/>
                <w:szCs w:val="21"/>
              </w:rPr>
            </w:pPr>
            <w:r>
              <w:rPr>
                <w:rFonts w:hint="eastAsia" w:eastAsia="仿宋"/>
                <w:bCs/>
                <w:szCs w:val="21"/>
              </w:rPr>
              <w:t>副教授</w:t>
            </w:r>
          </w:p>
        </w:tc>
        <w:tc>
          <w:tcPr>
            <w:tcW w:w="519" w:type="pct"/>
            <w:vAlign w:val="center"/>
          </w:tcPr>
          <w:p>
            <w:pPr>
              <w:adjustRightInd w:val="0"/>
              <w:snapToGrid w:val="0"/>
              <w:jc w:val="center"/>
              <w:rPr>
                <w:rFonts w:eastAsia="仿宋"/>
                <w:bCs/>
                <w:szCs w:val="21"/>
              </w:rPr>
            </w:pPr>
            <w:r>
              <w:rPr>
                <w:rFonts w:hint="eastAsia" w:eastAsia="仿宋"/>
                <w:bCs/>
                <w:szCs w:val="21"/>
              </w:rPr>
              <w:t>硕士</w:t>
            </w:r>
          </w:p>
        </w:tc>
        <w:tc>
          <w:tcPr>
            <w:tcW w:w="1890" w:type="pct"/>
            <w:vAlign w:val="center"/>
          </w:tcPr>
          <w:p>
            <w:pPr>
              <w:adjustRightInd w:val="0"/>
              <w:snapToGrid w:val="0"/>
              <w:jc w:val="center"/>
              <w:rPr>
                <w:rFonts w:eastAsia="仿宋"/>
                <w:bCs/>
                <w:szCs w:val="21"/>
              </w:rPr>
            </w:pPr>
            <w:r>
              <w:rPr>
                <w:rFonts w:eastAsia="仿宋"/>
                <w:bCs/>
                <w:szCs w:val="21"/>
              </w:rPr>
              <w:t>云南农业</w:t>
            </w:r>
            <w:r>
              <w:rPr>
                <w:rFonts w:hint="eastAsia" w:eastAsia="仿宋"/>
                <w:bCs/>
                <w:szCs w:val="21"/>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2</w:t>
            </w:r>
          </w:p>
        </w:tc>
        <w:tc>
          <w:tcPr>
            <w:tcW w:w="519" w:type="pct"/>
            <w:vAlign w:val="center"/>
          </w:tcPr>
          <w:p>
            <w:pPr>
              <w:adjustRightInd w:val="0"/>
              <w:snapToGrid w:val="0"/>
              <w:jc w:val="center"/>
              <w:rPr>
                <w:rFonts w:eastAsia="仿宋"/>
                <w:bCs/>
                <w:szCs w:val="21"/>
              </w:rPr>
            </w:pPr>
            <w:r>
              <w:rPr>
                <w:rFonts w:hint="eastAsia" w:eastAsia="仿宋"/>
                <w:bCs/>
                <w:szCs w:val="21"/>
              </w:rPr>
              <w:t>余航</w:t>
            </w:r>
          </w:p>
        </w:tc>
        <w:tc>
          <w:tcPr>
            <w:tcW w:w="519" w:type="pct"/>
            <w:vAlign w:val="center"/>
          </w:tcPr>
          <w:p>
            <w:pPr>
              <w:adjustRightInd w:val="0"/>
              <w:snapToGrid w:val="0"/>
              <w:jc w:val="center"/>
              <w:rPr>
                <w:rFonts w:eastAsia="仿宋"/>
                <w:bCs/>
                <w:szCs w:val="21"/>
              </w:rPr>
            </w:pPr>
            <w:r>
              <w:rPr>
                <w:rFonts w:hint="eastAsia" w:eastAsia="仿宋"/>
                <w:bCs/>
                <w:szCs w:val="21"/>
              </w:rPr>
              <w:t>男</w:t>
            </w:r>
          </w:p>
        </w:tc>
        <w:tc>
          <w:tcPr>
            <w:tcW w:w="1033" w:type="pct"/>
            <w:vAlign w:val="center"/>
          </w:tcPr>
          <w:p>
            <w:pPr>
              <w:tabs>
                <w:tab w:val="left" w:pos="437"/>
              </w:tabs>
              <w:adjustRightInd w:val="0"/>
              <w:snapToGrid w:val="0"/>
              <w:jc w:val="center"/>
              <w:rPr>
                <w:rFonts w:eastAsia="仿宋"/>
                <w:bCs/>
                <w:szCs w:val="21"/>
              </w:rPr>
            </w:pPr>
            <w:r>
              <w:rPr>
                <w:rFonts w:hint="eastAsia" w:eastAsia="仿宋"/>
                <w:bCs/>
                <w:szCs w:val="21"/>
              </w:rPr>
              <w:t>讲师</w:t>
            </w:r>
          </w:p>
        </w:tc>
        <w:tc>
          <w:tcPr>
            <w:tcW w:w="519" w:type="pct"/>
            <w:vAlign w:val="center"/>
          </w:tcPr>
          <w:p>
            <w:pPr>
              <w:adjustRightInd w:val="0"/>
              <w:snapToGrid w:val="0"/>
              <w:jc w:val="center"/>
              <w:rPr>
                <w:rFonts w:eastAsia="仿宋"/>
                <w:bCs/>
                <w:szCs w:val="21"/>
              </w:rPr>
            </w:pPr>
            <w:r>
              <w:rPr>
                <w:rFonts w:hint="eastAsia" w:eastAsia="仿宋"/>
                <w:bCs/>
                <w:szCs w:val="21"/>
              </w:rPr>
              <w:t>硕士</w:t>
            </w:r>
          </w:p>
        </w:tc>
        <w:tc>
          <w:tcPr>
            <w:tcW w:w="1890" w:type="pct"/>
            <w:vAlign w:val="center"/>
          </w:tcPr>
          <w:p>
            <w:pPr>
              <w:adjustRightInd w:val="0"/>
              <w:snapToGrid w:val="0"/>
              <w:jc w:val="center"/>
              <w:rPr>
                <w:rFonts w:eastAsia="仿宋"/>
                <w:bCs/>
                <w:szCs w:val="21"/>
              </w:rPr>
            </w:pPr>
            <w:r>
              <w:rPr>
                <w:rFonts w:eastAsia="仿宋"/>
                <w:bCs/>
                <w:szCs w:val="21"/>
              </w:rPr>
              <w:t>云南农业</w:t>
            </w:r>
            <w:r>
              <w:rPr>
                <w:rFonts w:hint="eastAsia" w:eastAsia="仿宋"/>
                <w:bCs/>
                <w:szCs w:val="21"/>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3</w:t>
            </w:r>
          </w:p>
        </w:tc>
        <w:tc>
          <w:tcPr>
            <w:tcW w:w="519" w:type="pct"/>
            <w:vAlign w:val="center"/>
          </w:tcPr>
          <w:p>
            <w:pPr>
              <w:adjustRightInd w:val="0"/>
              <w:snapToGrid w:val="0"/>
              <w:jc w:val="center"/>
              <w:rPr>
                <w:rFonts w:eastAsia="仿宋"/>
                <w:bCs/>
                <w:szCs w:val="21"/>
              </w:rPr>
            </w:pPr>
            <w:r>
              <w:rPr>
                <w:rFonts w:hint="eastAsia" w:eastAsia="仿宋"/>
                <w:bCs/>
                <w:szCs w:val="21"/>
              </w:rPr>
              <w:t>付奔</w:t>
            </w:r>
          </w:p>
        </w:tc>
        <w:tc>
          <w:tcPr>
            <w:tcW w:w="519" w:type="pct"/>
            <w:vAlign w:val="center"/>
          </w:tcPr>
          <w:p>
            <w:pPr>
              <w:adjustRightInd w:val="0"/>
              <w:snapToGrid w:val="0"/>
              <w:jc w:val="center"/>
              <w:rPr>
                <w:rFonts w:eastAsia="仿宋"/>
                <w:bCs/>
                <w:szCs w:val="21"/>
              </w:rPr>
            </w:pPr>
            <w:r>
              <w:rPr>
                <w:rFonts w:hint="eastAsia" w:eastAsia="仿宋"/>
                <w:bCs/>
                <w:szCs w:val="21"/>
              </w:rPr>
              <w:t>男</w:t>
            </w:r>
          </w:p>
        </w:tc>
        <w:tc>
          <w:tcPr>
            <w:tcW w:w="1033" w:type="pct"/>
            <w:vAlign w:val="center"/>
          </w:tcPr>
          <w:p>
            <w:pPr>
              <w:adjustRightInd w:val="0"/>
              <w:snapToGrid w:val="0"/>
              <w:jc w:val="center"/>
              <w:rPr>
                <w:rFonts w:eastAsia="仿宋"/>
                <w:bCs/>
                <w:szCs w:val="21"/>
              </w:rPr>
            </w:pPr>
            <w:r>
              <w:rPr>
                <w:rFonts w:hint="eastAsia" w:eastAsia="仿宋"/>
                <w:bCs/>
                <w:szCs w:val="21"/>
              </w:rPr>
              <w:t>高级工程师</w:t>
            </w:r>
          </w:p>
        </w:tc>
        <w:tc>
          <w:tcPr>
            <w:tcW w:w="519" w:type="pct"/>
            <w:vAlign w:val="center"/>
          </w:tcPr>
          <w:p>
            <w:pPr>
              <w:adjustRightInd w:val="0"/>
              <w:snapToGrid w:val="0"/>
              <w:jc w:val="center"/>
              <w:rPr>
                <w:rFonts w:eastAsia="仿宋"/>
                <w:bCs/>
                <w:szCs w:val="21"/>
              </w:rPr>
            </w:pPr>
            <w:r>
              <w:rPr>
                <w:rFonts w:hint="eastAsia" w:eastAsia="仿宋"/>
                <w:bCs/>
                <w:szCs w:val="21"/>
              </w:rPr>
              <w:t>硕士</w:t>
            </w:r>
          </w:p>
        </w:tc>
        <w:tc>
          <w:tcPr>
            <w:tcW w:w="1890" w:type="pct"/>
            <w:vAlign w:val="center"/>
          </w:tcPr>
          <w:p>
            <w:pPr>
              <w:adjustRightInd w:val="0"/>
              <w:snapToGrid w:val="0"/>
              <w:jc w:val="center"/>
              <w:rPr>
                <w:rFonts w:eastAsia="仿宋"/>
                <w:bCs/>
                <w:szCs w:val="21"/>
              </w:rPr>
            </w:pPr>
            <w:r>
              <w:rPr>
                <w:rFonts w:hint="eastAsia" w:eastAsia="仿宋"/>
                <w:bCs/>
                <w:szCs w:val="21"/>
              </w:rPr>
              <w:t>云南省水文水资源局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4</w:t>
            </w:r>
          </w:p>
        </w:tc>
        <w:tc>
          <w:tcPr>
            <w:tcW w:w="519" w:type="pct"/>
            <w:vAlign w:val="center"/>
          </w:tcPr>
          <w:p>
            <w:pPr>
              <w:adjustRightInd w:val="0"/>
              <w:snapToGrid w:val="0"/>
              <w:jc w:val="center"/>
              <w:rPr>
                <w:rFonts w:eastAsia="仿宋"/>
                <w:bCs/>
                <w:szCs w:val="21"/>
              </w:rPr>
            </w:pPr>
            <w:r>
              <w:rPr>
                <w:rFonts w:hint="eastAsia" w:eastAsia="仿宋"/>
                <w:bCs/>
                <w:szCs w:val="21"/>
              </w:rPr>
              <w:t>杨蕊</w:t>
            </w:r>
          </w:p>
        </w:tc>
        <w:tc>
          <w:tcPr>
            <w:tcW w:w="519" w:type="pct"/>
            <w:vAlign w:val="center"/>
          </w:tcPr>
          <w:p>
            <w:pPr>
              <w:adjustRightInd w:val="0"/>
              <w:snapToGrid w:val="0"/>
              <w:jc w:val="center"/>
              <w:rPr>
                <w:rFonts w:eastAsia="仿宋"/>
                <w:bCs/>
                <w:szCs w:val="21"/>
              </w:rPr>
            </w:pPr>
            <w:r>
              <w:rPr>
                <w:rFonts w:hint="eastAsia" w:eastAsia="仿宋"/>
                <w:bCs/>
                <w:szCs w:val="21"/>
              </w:rPr>
              <w:t>女</w:t>
            </w:r>
          </w:p>
        </w:tc>
        <w:tc>
          <w:tcPr>
            <w:tcW w:w="1033" w:type="pct"/>
            <w:vAlign w:val="center"/>
          </w:tcPr>
          <w:p>
            <w:pPr>
              <w:adjustRightInd w:val="0"/>
              <w:snapToGrid w:val="0"/>
              <w:jc w:val="center"/>
              <w:rPr>
                <w:rFonts w:eastAsia="仿宋"/>
                <w:bCs/>
                <w:szCs w:val="21"/>
              </w:rPr>
            </w:pPr>
            <w:r>
              <w:rPr>
                <w:rFonts w:hint="eastAsia" w:eastAsia="仿宋"/>
                <w:bCs/>
                <w:szCs w:val="21"/>
              </w:rPr>
              <w:t>讲师</w:t>
            </w:r>
          </w:p>
        </w:tc>
        <w:tc>
          <w:tcPr>
            <w:tcW w:w="519" w:type="pct"/>
            <w:vAlign w:val="center"/>
          </w:tcPr>
          <w:p>
            <w:pPr>
              <w:adjustRightInd w:val="0"/>
              <w:snapToGrid w:val="0"/>
              <w:jc w:val="center"/>
              <w:rPr>
                <w:rFonts w:eastAsia="仿宋"/>
                <w:bCs/>
                <w:szCs w:val="21"/>
              </w:rPr>
            </w:pPr>
            <w:r>
              <w:rPr>
                <w:rFonts w:hint="eastAsia" w:eastAsia="仿宋"/>
                <w:bCs/>
                <w:szCs w:val="21"/>
              </w:rPr>
              <w:t>硕士</w:t>
            </w:r>
          </w:p>
        </w:tc>
        <w:tc>
          <w:tcPr>
            <w:tcW w:w="1890" w:type="pct"/>
            <w:vAlign w:val="center"/>
          </w:tcPr>
          <w:p>
            <w:pPr>
              <w:adjustRightInd w:val="0"/>
              <w:snapToGrid w:val="0"/>
              <w:jc w:val="center"/>
              <w:rPr>
                <w:rFonts w:eastAsia="仿宋"/>
                <w:bCs/>
                <w:szCs w:val="21"/>
              </w:rPr>
            </w:pPr>
            <w:r>
              <w:rPr>
                <w:rFonts w:eastAsia="仿宋"/>
                <w:bCs/>
                <w:szCs w:val="21"/>
              </w:rPr>
              <w:t>云南农业</w:t>
            </w:r>
            <w:r>
              <w:rPr>
                <w:rFonts w:hint="eastAsia" w:eastAsia="仿宋"/>
                <w:bCs/>
                <w:szCs w:val="21"/>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5</w:t>
            </w:r>
          </w:p>
        </w:tc>
        <w:tc>
          <w:tcPr>
            <w:tcW w:w="519" w:type="pct"/>
            <w:vAlign w:val="center"/>
          </w:tcPr>
          <w:p>
            <w:pPr>
              <w:adjustRightInd w:val="0"/>
              <w:snapToGrid w:val="0"/>
              <w:jc w:val="center"/>
              <w:rPr>
                <w:rFonts w:eastAsia="仿宋"/>
                <w:bCs/>
                <w:szCs w:val="21"/>
              </w:rPr>
            </w:pPr>
            <w:r>
              <w:rPr>
                <w:rFonts w:hint="eastAsia" w:eastAsia="仿宋"/>
                <w:bCs/>
                <w:szCs w:val="21"/>
              </w:rPr>
              <w:t>文俊</w:t>
            </w:r>
          </w:p>
        </w:tc>
        <w:tc>
          <w:tcPr>
            <w:tcW w:w="519" w:type="pct"/>
            <w:vAlign w:val="center"/>
          </w:tcPr>
          <w:p>
            <w:pPr>
              <w:adjustRightInd w:val="0"/>
              <w:snapToGrid w:val="0"/>
              <w:jc w:val="center"/>
              <w:rPr>
                <w:rFonts w:eastAsia="仿宋"/>
                <w:bCs/>
                <w:szCs w:val="21"/>
              </w:rPr>
            </w:pPr>
            <w:r>
              <w:rPr>
                <w:rFonts w:hint="eastAsia" w:eastAsia="仿宋"/>
                <w:bCs/>
                <w:szCs w:val="21"/>
              </w:rPr>
              <w:t>男</w:t>
            </w:r>
          </w:p>
        </w:tc>
        <w:tc>
          <w:tcPr>
            <w:tcW w:w="1033" w:type="pct"/>
            <w:vAlign w:val="center"/>
          </w:tcPr>
          <w:p>
            <w:pPr>
              <w:adjustRightInd w:val="0"/>
              <w:snapToGrid w:val="0"/>
              <w:jc w:val="center"/>
              <w:rPr>
                <w:rFonts w:eastAsia="仿宋"/>
                <w:bCs/>
                <w:szCs w:val="21"/>
              </w:rPr>
            </w:pPr>
            <w:r>
              <w:rPr>
                <w:rFonts w:hint="eastAsia" w:eastAsia="仿宋"/>
                <w:bCs/>
                <w:szCs w:val="21"/>
              </w:rPr>
              <w:t>教授</w:t>
            </w:r>
          </w:p>
        </w:tc>
        <w:tc>
          <w:tcPr>
            <w:tcW w:w="519" w:type="pct"/>
            <w:vAlign w:val="center"/>
          </w:tcPr>
          <w:p>
            <w:pPr>
              <w:adjustRightInd w:val="0"/>
              <w:snapToGrid w:val="0"/>
              <w:jc w:val="center"/>
              <w:rPr>
                <w:rFonts w:eastAsia="仿宋"/>
                <w:bCs/>
                <w:szCs w:val="21"/>
              </w:rPr>
            </w:pPr>
            <w:r>
              <w:rPr>
                <w:rFonts w:hint="eastAsia" w:eastAsia="仿宋"/>
                <w:bCs/>
                <w:szCs w:val="21"/>
              </w:rPr>
              <w:t>博士</w:t>
            </w:r>
          </w:p>
        </w:tc>
        <w:tc>
          <w:tcPr>
            <w:tcW w:w="1890" w:type="pct"/>
            <w:vAlign w:val="center"/>
          </w:tcPr>
          <w:p>
            <w:pPr>
              <w:adjustRightInd w:val="0"/>
              <w:snapToGrid w:val="0"/>
              <w:jc w:val="center"/>
              <w:rPr>
                <w:rFonts w:eastAsia="仿宋"/>
                <w:bCs/>
                <w:szCs w:val="21"/>
              </w:rPr>
            </w:pPr>
            <w:r>
              <w:rPr>
                <w:rFonts w:eastAsia="仿宋"/>
                <w:bCs/>
                <w:szCs w:val="21"/>
              </w:rPr>
              <w:t>云南农业职业技术学院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6</w:t>
            </w:r>
          </w:p>
        </w:tc>
        <w:tc>
          <w:tcPr>
            <w:tcW w:w="519" w:type="pct"/>
            <w:vAlign w:val="center"/>
          </w:tcPr>
          <w:p>
            <w:pPr>
              <w:adjustRightInd w:val="0"/>
              <w:snapToGrid w:val="0"/>
              <w:jc w:val="center"/>
              <w:rPr>
                <w:rFonts w:eastAsia="仿宋"/>
                <w:bCs/>
                <w:szCs w:val="21"/>
              </w:rPr>
            </w:pPr>
            <w:r>
              <w:rPr>
                <w:rFonts w:hint="eastAsia" w:eastAsia="仿宋"/>
                <w:bCs/>
                <w:szCs w:val="21"/>
              </w:rPr>
              <w:t>高瑞</w:t>
            </w:r>
          </w:p>
        </w:tc>
        <w:tc>
          <w:tcPr>
            <w:tcW w:w="519" w:type="pct"/>
            <w:vAlign w:val="center"/>
          </w:tcPr>
          <w:p>
            <w:pPr>
              <w:adjustRightInd w:val="0"/>
              <w:snapToGrid w:val="0"/>
              <w:jc w:val="center"/>
              <w:rPr>
                <w:rFonts w:eastAsia="仿宋"/>
                <w:bCs/>
                <w:szCs w:val="21"/>
              </w:rPr>
            </w:pPr>
            <w:r>
              <w:rPr>
                <w:rFonts w:hint="eastAsia" w:eastAsia="仿宋"/>
                <w:bCs/>
                <w:szCs w:val="21"/>
              </w:rPr>
              <w:t>女</w:t>
            </w:r>
          </w:p>
        </w:tc>
        <w:tc>
          <w:tcPr>
            <w:tcW w:w="1033" w:type="pct"/>
            <w:vAlign w:val="center"/>
          </w:tcPr>
          <w:p>
            <w:pPr>
              <w:adjustRightInd w:val="0"/>
              <w:snapToGrid w:val="0"/>
              <w:jc w:val="center"/>
              <w:rPr>
                <w:rFonts w:eastAsia="仿宋"/>
                <w:bCs/>
                <w:szCs w:val="21"/>
              </w:rPr>
            </w:pPr>
            <w:r>
              <w:rPr>
                <w:rFonts w:hint="eastAsia" w:eastAsia="仿宋"/>
                <w:bCs/>
                <w:szCs w:val="21"/>
              </w:rPr>
              <w:t>讲师</w:t>
            </w:r>
          </w:p>
        </w:tc>
        <w:tc>
          <w:tcPr>
            <w:tcW w:w="519" w:type="pct"/>
            <w:vAlign w:val="center"/>
          </w:tcPr>
          <w:p>
            <w:pPr>
              <w:adjustRightInd w:val="0"/>
              <w:snapToGrid w:val="0"/>
              <w:jc w:val="center"/>
              <w:rPr>
                <w:rFonts w:eastAsia="仿宋"/>
                <w:bCs/>
                <w:szCs w:val="21"/>
              </w:rPr>
            </w:pPr>
            <w:r>
              <w:rPr>
                <w:rFonts w:hint="eastAsia" w:eastAsia="仿宋"/>
                <w:bCs/>
                <w:szCs w:val="21"/>
              </w:rPr>
              <w:t>硕士</w:t>
            </w:r>
          </w:p>
        </w:tc>
        <w:tc>
          <w:tcPr>
            <w:tcW w:w="1890" w:type="pct"/>
            <w:vAlign w:val="center"/>
          </w:tcPr>
          <w:p>
            <w:pPr>
              <w:adjustRightInd w:val="0"/>
              <w:snapToGrid w:val="0"/>
              <w:jc w:val="center"/>
              <w:rPr>
                <w:rFonts w:eastAsia="仿宋"/>
                <w:bCs/>
                <w:szCs w:val="21"/>
              </w:rPr>
            </w:pPr>
            <w:r>
              <w:rPr>
                <w:rFonts w:eastAsia="仿宋"/>
                <w:bCs/>
                <w:szCs w:val="21"/>
              </w:rPr>
              <w:t>云南农业</w:t>
            </w:r>
            <w:r>
              <w:rPr>
                <w:rFonts w:hint="eastAsia" w:eastAsia="仿宋"/>
                <w:bCs/>
                <w:szCs w:val="21"/>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pPr>
              <w:adjustRightInd w:val="0"/>
              <w:snapToGrid w:val="0"/>
              <w:jc w:val="center"/>
              <w:rPr>
                <w:rFonts w:eastAsia="仿宋"/>
                <w:bCs/>
                <w:szCs w:val="21"/>
              </w:rPr>
            </w:pPr>
            <w:r>
              <w:rPr>
                <w:rFonts w:ascii="Times New Roman" w:hAnsi="Times New Roman" w:eastAsia="仿宋"/>
                <w:bCs/>
                <w:szCs w:val="21"/>
              </w:rPr>
              <w:t>7</w:t>
            </w:r>
          </w:p>
        </w:tc>
        <w:tc>
          <w:tcPr>
            <w:tcW w:w="519" w:type="pct"/>
            <w:vAlign w:val="center"/>
          </w:tcPr>
          <w:p>
            <w:pPr>
              <w:adjustRightInd w:val="0"/>
              <w:snapToGrid w:val="0"/>
              <w:jc w:val="center"/>
              <w:rPr>
                <w:rFonts w:eastAsia="仿宋"/>
                <w:bCs/>
                <w:szCs w:val="21"/>
              </w:rPr>
            </w:pPr>
            <w:r>
              <w:rPr>
                <w:rFonts w:hint="eastAsia" w:eastAsia="仿宋"/>
                <w:bCs/>
                <w:szCs w:val="21"/>
              </w:rPr>
              <w:t>杨帆</w:t>
            </w:r>
          </w:p>
        </w:tc>
        <w:tc>
          <w:tcPr>
            <w:tcW w:w="519" w:type="pct"/>
            <w:vAlign w:val="center"/>
          </w:tcPr>
          <w:p>
            <w:pPr>
              <w:adjustRightInd w:val="0"/>
              <w:snapToGrid w:val="0"/>
              <w:jc w:val="center"/>
              <w:rPr>
                <w:rFonts w:eastAsia="仿宋"/>
                <w:bCs/>
                <w:szCs w:val="21"/>
              </w:rPr>
            </w:pPr>
            <w:r>
              <w:rPr>
                <w:rFonts w:hint="eastAsia" w:eastAsia="仿宋"/>
                <w:bCs/>
                <w:szCs w:val="21"/>
              </w:rPr>
              <w:t>男</w:t>
            </w:r>
          </w:p>
        </w:tc>
        <w:tc>
          <w:tcPr>
            <w:tcW w:w="1033" w:type="pct"/>
            <w:vAlign w:val="center"/>
          </w:tcPr>
          <w:p>
            <w:pPr>
              <w:adjustRightInd w:val="0"/>
              <w:snapToGrid w:val="0"/>
              <w:jc w:val="center"/>
              <w:rPr>
                <w:rFonts w:eastAsia="仿宋"/>
                <w:bCs/>
                <w:szCs w:val="21"/>
              </w:rPr>
            </w:pPr>
            <w:r>
              <w:rPr>
                <w:rFonts w:hint="eastAsia" w:eastAsia="仿宋"/>
                <w:bCs/>
                <w:szCs w:val="21"/>
              </w:rPr>
              <w:t>高级工程师</w:t>
            </w:r>
          </w:p>
        </w:tc>
        <w:tc>
          <w:tcPr>
            <w:tcW w:w="519" w:type="pct"/>
            <w:vAlign w:val="center"/>
          </w:tcPr>
          <w:p>
            <w:pPr>
              <w:adjustRightInd w:val="0"/>
              <w:snapToGrid w:val="0"/>
              <w:jc w:val="center"/>
              <w:rPr>
                <w:rFonts w:eastAsia="仿宋"/>
                <w:bCs/>
                <w:szCs w:val="21"/>
              </w:rPr>
            </w:pPr>
            <w:r>
              <w:rPr>
                <w:rFonts w:ascii="宋体" w:hAnsi="宋体"/>
                <w:szCs w:val="21"/>
              </w:rPr>
              <w:t>硕士</w:t>
            </w:r>
          </w:p>
        </w:tc>
        <w:tc>
          <w:tcPr>
            <w:tcW w:w="1890" w:type="pct"/>
            <w:vAlign w:val="center"/>
          </w:tcPr>
          <w:p>
            <w:pPr>
              <w:adjustRightInd w:val="0"/>
              <w:snapToGrid w:val="0"/>
              <w:jc w:val="center"/>
              <w:rPr>
                <w:rFonts w:eastAsia="仿宋"/>
                <w:bCs/>
                <w:szCs w:val="21"/>
              </w:rPr>
            </w:pPr>
            <w:r>
              <w:rPr>
                <w:rFonts w:hint="eastAsia" w:eastAsia="仿宋"/>
                <w:bCs/>
                <w:szCs w:val="21"/>
              </w:rPr>
              <w:t>云南省水文水资源局</w:t>
            </w:r>
          </w:p>
        </w:tc>
      </w:tr>
    </w:tbl>
    <w:p>
      <w:pPr>
        <w:widowControl/>
        <w:adjustRightInd w:val="0"/>
        <w:snapToGrid w:val="0"/>
        <w:spacing w:line="560" w:lineRule="exact"/>
        <w:ind w:firstLine="643" w:firstLineChars="200"/>
        <w:jc w:val="left"/>
        <w:rPr>
          <w:rFonts w:ascii="仿宋" w:hAnsi="仿宋" w:eastAsia="仿宋" w:cs="仿宋"/>
          <w:b/>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E6FE58-EBF8-4357-A05B-3554AD4C2BD0}"/>
  </w:font>
  <w:font w:name="Arial">
    <w:panose1 w:val="020B0604020202020204"/>
    <w:charset w:val="01"/>
    <w:family w:val="swiss"/>
    <w:pitch w:val="default"/>
    <w:sig w:usb0="E0002EFF" w:usb1="C000785B" w:usb2="00000009" w:usb3="00000000" w:csb0="400001FF" w:csb1="FFFF0000"/>
    <w:embedRegular r:id="rId2" w:fontKey="{48D19EFB-09BE-48EE-B436-8C190E6E7DF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9C3AAC3-C9B0-4F11-9499-B41AEDD684AA}"/>
  </w:font>
  <w:font w:name="Symbol">
    <w:panose1 w:val="05050102010706020507"/>
    <w:charset w:val="02"/>
    <w:family w:val="roman"/>
    <w:pitch w:val="default"/>
    <w:sig w:usb0="00000000" w:usb1="00000000" w:usb2="00000000" w:usb3="00000000" w:csb0="80000000" w:csb1="00000000"/>
    <w:embedRegular r:id="rId4" w:fontKey="{7C0D6587-006A-4BEC-8CA8-FED3190D7FBC}"/>
  </w:font>
  <w:font w:name="Calibri">
    <w:panose1 w:val="020F0502020204030204"/>
    <w:charset w:val="00"/>
    <w:family w:val="swiss"/>
    <w:pitch w:val="default"/>
    <w:sig w:usb0="E4002EFF" w:usb1="C000247B" w:usb2="00000009" w:usb3="00000000" w:csb0="200001FF" w:csb1="00000000"/>
    <w:embedRegular r:id="rId5" w:fontKey="{CC23B63F-4FAB-4AE0-B2A4-85DF4C3069D2}"/>
  </w:font>
  <w:font w:name="Minion Pro">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embedRegular r:id="rId6" w:fontKey="{754EED85-BD42-4E42-8A77-0F8B16DBAF8E}"/>
  </w:font>
  <w:font w:name="方正公文小标宋">
    <w:altName w:val="宋体"/>
    <w:panose1 w:val="00000000000000000000"/>
    <w:charset w:val="86"/>
    <w:family w:val="auto"/>
    <w:pitch w:val="default"/>
    <w:sig w:usb0="00000000" w:usb1="00000000" w:usb2="00000016" w:usb3="00000000" w:csb0="00040001" w:csb1="00000000"/>
    <w:embedRegular r:id="rId7" w:fontKey="{9D3DEA20-9DF2-4613-A558-884AFB92CDD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BB2CBA82-6178-425F-AC89-25F553ABD4CB}"/>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39"/>
    <w:rsid w:val="00055892"/>
    <w:rsid w:val="00057726"/>
    <w:rsid w:val="0009697B"/>
    <w:rsid w:val="000F17EB"/>
    <w:rsid w:val="00205189"/>
    <w:rsid w:val="00301A1C"/>
    <w:rsid w:val="00302304"/>
    <w:rsid w:val="00346705"/>
    <w:rsid w:val="003D64F0"/>
    <w:rsid w:val="003D73EA"/>
    <w:rsid w:val="0041395E"/>
    <w:rsid w:val="00447356"/>
    <w:rsid w:val="00474D6D"/>
    <w:rsid w:val="00520BE3"/>
    <w:rsid w:val="005619B7"/>
    <w:rsid w:val="0057596F"/>
    <w:rsid w:val="005B710F"/>
    <w:rsid w:val="005C14E2"/>
    <w:rsid w:val="005D003E"/>
    <w:rsid w:val="00643FFA"/>
    <w:rsid w:val="00670B49"/>
    <w:rsid w:val="007347BC"/>
    <w:rsid w:val="00746891"/>
    <w:rsid w:val="007667C6"/>
    <w:rsid w:val="007C1056"/>
    <w:rsid w:val="007D06C7"/>
    <w:rsid w:val="007D13F5"/>
    <w:rsid w:val="007D1761"/>
    <w:rsid w:val="007E457E"/>
    <w:rsid w:val="008614E9"/>
    <w:rsid w:val="00896359"/>
    <w:rsid w:val="008A24A0"/>
    <w:rsid w:val="008B1AEB"/>
    <w:rsid w:val="009A4A56"/>
    <w:rsid w:val="009B75CA"/>
    <w:rsid w:val="00AB44F5"/>
    <w:rsid w:val="00B520AE"/>
    <w:rsid w:val="00B645AC"/>
    <w:rsid w:val="00B91FED"/>
    <w:rsid w:val="00BA784B"/>
    <w:rsid w:val="00BD14C7"/>
    <w:rsid w:val="00C4367A"/>
    <w:rsid w:val="00CA7C67"/>
    <w:rsid w:val="00CB20BE"/>
    <w:rsid w:val="00CD579D"/>
    <w:rsid w:val="00CF2A15"/>
    <w:rsid w:val="00D06201"/>
    <w:rsid w:val="00D33DEF"/>
    <w:rsid w:val="00DB2D5E"/>
    <w:rsid w:val="00E06164"/>
    <w:rsid w:val="00E30410"/>
    <w:rsid w:val="00E33A92"/>
    <w:rsid w:val="00E34B39"/>
    <w:rsid w:val="00E471B6"/>
    <w:rsid w:val="00E50481"/>
    <w:rsid w:val="00F31231"/>
    <w:rsid w:val="00FC6E21"/>
    <w:rsid w:val="019D4170"/>
    <w:rsid w:val="1F182672"/>
    <w:rsid w:val="21FC284D"/>
    <w:rsid w:val="252832E0"/>
    <w:rsid w:val="2A807C71"/>
    <w:rsid w:val="33B74D7B"/>
    <w:rsid w:val="39A34372"/>
    <w:rsid w:val="43B039F8"/>
    <w:rsid w:val="4CAF5BD1"/>
    <w:rsid w:val="4CDB4065"/>
    <w:rsid w:val="5BC54CF3"/>
    <w:rsid w:val="66616C89"/>
    <w:rsid w:val="693658F4"/>
    <w:rsid w:val="76793BBA"/>
    <w:rsid w:val="7C307D6F"/>
    <w:rsid w:val="7F750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6"/>
    <w:semiHidden/>
    <w:unhideWhenUsed/>
    <w:uiPriority w:val="99"/>
    <w:rPr>
      <w:rFonts w:ascii="宋体"/>
      <w:sz w:val="18"/>
      <w:szCs w:val="18"/>
    </w:rPr>
  </w:style>
  <w:style w:type="paragraph" w:styleId="3">
    <w:name w:val="Plain Text"/>
    <w:basedOn w:val="1"/>
    <w:link w:val="19"/>
    <w:qFormat/>
    <w:uiPriority w:val="0"/>
    <w:pPr>
      <w:autoSpaceDE w:val="0"/>
      <w:autoSpaceDN w:val="0"/>
      <w:spacing w:line="360" w:lineRule="auto"/>
      <w:ind w:firstLine="480" w:firstLineChars="200"/>
      <w:jc w:val="left"/>
    </w:pPr>
    <w:rPr>
      <w:rFonts w:ascii="仿宋_GB2312" w:hAnsi="宋体" w:cs="宋体"/>
      <w:kern w:val="0"/>
      <w:sz w:val="24"/>
      <w:szCs w:val="22"/>
      <w:lang w:val="zh-CN" w:bidi="zh-CN"/>
    </w:rPr>
  </w:style>
  <w:style w:type="paragraph" w:styleId="4">
    <w:name w:val="Date"/>
    <w:basedOn w:val="1"/>
    <w:next w:val="1"/>
    <w:link w:val="17"/>
    <w:semiHidden/>
    <w:unhideWhenUsed/>
    <w:uiPriority w:val="99"/>
    <w:pPr>
      <w:ind w:left="100" w:leftChars="2500"/>
    </w:pPr>
  </w:style>
  <w:style w:type="paragraph" w:styleId="5">
    <w:name w:val="Balloon Text"/>
    <w:basedOn w:val="1"/>
    <w:link w:val="15"/>
    <w:semiHidden/>
    <w:unhideWhenUsed/>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眉 Char"/>
    <w:basedOn w:val="10"/>
    <w:link w:val="7"/>
    <w:qFormat/>
    <w:uiPriority w:val="99"/>
    <w:rPr>
      <w:sz w:val="18"/>
      <w:szCs w:val="18"/>
    </w:rPr>
  </w:style>
  <w:style w:type="character" w:customStyle="1" w:styleId="12">
    <w:name w:val="页脚 Char"/>
    <w:basedOn w:val="10"/>
    <w:link w:val="6"/>
    <w:qFormat/>
    <w:uiPriority w:val="99"/>
    <w:rPr>
      <w:sz w:val="18"/>
      <w:szCs w:val="18"/>
    </w:rPr>
  </w:style>
  <w:style w:type="character" w:customStyle="1" w:styleId="13">
    <w:name w:val="A1"/>
    <w:qFormat/>
    <w:uiPriority w:val="99"/>
    <w:rPr>
      <w:rFonts w:cs="Minion Pro"/>
      <w:color w:val="000000"/>
      <w:sz w:val="21"/>
      <w:szCs w:val="21"/>
    </w:rPr>
  </w:style>
  <w:style w:type="paragraph" w:styleId="14">
    <w:name w:val="List Paragraph"/>
    <w:basedOn w:val="1"/>
    <w:qFormat/>
    <w:uiPriority w:val="99"/>
    <w:pPr>
      <w:ind w:firstLine="420" w:firstLineChars="200"/>
    </w:pPr>
  </w:style>
  <w:style w:type="character" w:customStyle="1" w:styleId="15">
    <w:name w:val="批注框文本 Char"/>
    <w:basedOn w:val="10"/>
    <w:link w:val="5"/>
    <w:semiHidden/>
    <w:uiPriority w:val="99"/>
    <w:rPr>
      <w:kern w:val="2"/>
      <w:sz w:val="18"/>
      <w:szCs w:val="18"/>
    </w:rPr>
  </w:style>
  <w:style w:type="character" w:customStyle="1" w:styleId="16">
    <w:name w:val="文档结构图 Char"/>
    <w:basedOn w:val="10"/>
    <w:link w:val="2"/>
    <w:semiHidden/>
    <w:uiPriority w:val="99"/>
    <w:rPr>
      <w:rFonts w:ascii="宋体"/>
      <w:kern w:val="2"/>
      <w:sz w:val="18"/>
      <w:szCs w:val="18"/>
    </w:rPr>
  </w:style>
  <w:style w:type="character" w:customStyle="1" w:styleId="17">
    <w:name w:val="日期 Char"/>
    <w:basedOn w:val="10"/>
    <w:link w:val="4"/>
    <w:semiHidden/>
    <w:uiPriority w:val="99"/>
    <w:rPr>
      <w:kern w:val="2"/>
      <w:sz w:val="21"/>
      <w:szCs w:val="24"/>
    </w:rPr>
  </w:style>
  <w:style w:type="character" w:customStyle="1" w:styleId="18">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19">
    <w:name w:val="纯文本 Char"/>
    <w:basedOn w:val="10"/>
    <w:link w:val="3"/>
    <w:uiPriority w:val="0"/>
    <w:rPr>
      <w:rFonts w:ascii="仿宋_GB2312" w:hAnsi="宋体" w:cs="宋体"/>
      <w:sz w:val="24"/>
      <w:szCs w:val="22"/>
      <w:lang w:val="zh-CN" w:bidi="zh-CN"/>
    </w:rPr>
  </w:style>
  <w:style w:type="paragraph" w:customStyle="1" w:styleId="20">
    <w:name w:val="Defaul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Pages>
  <Words>514</Words>
  <Characters>2932</Characters>
  <Lines>24</Lines>
  <Paragraphs>6</Paragraphs>
  <TotalTime>9</TotalTime>
  <ScaleCrop>false</ScaleCrop>
  <LinksUpToDate>false</LinksUpToDate>
  <CharactersWithSpaces>3440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2021-05-19T02:10:00Z</dcterms:created>
  <dc:creator>Microsoft 帐户</dc:creator>
  <cp:lastModifiedBy>insomnia</cp:lastModifiedBy>
  <cp:lastPrinted>2021-05-10T07:06:00Z</cp:lastPrinted>
  <dcterms:modified xsi:type="dcterms:W3CDTF">2021-05-19T07:28:32Z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A19D846DD5104C039C75A30E570AF659</vt:lpwstr>
  </property>
  <property fmtid="{D5CDD505-2E9C-101B-9397-08002B2CF9AE}" pid="4" name="KSOSaveFontToCloudKey">
    <vt:lpwstr>220156391_embed</vt:lpwstr>
  </property>
</Properties>
</file>